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2A2A448D" w:rsidR="00982F23" w:rsidRPr="00B12774" w:rsidRDefault="00C36DB2"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ANEXA 1</w:t>
      </w:r>
      <w:r w:rsidR="00D603A1">
        <w:rPr>
          <w:rFonts w:asciiTheme="majorBidi" w:hAnsiTheme="majorBidi" w:cstheme="majorBidi"/>
          <w:b/>
          <w:bCs/>
          <w:sz w:val="22"/>
          <w:szCs w:val="22"/>
        </w:rPr>
        <w:t>4</w:t>
      </w:r>
      <w:r w:rsidRPr="00B12774">
        <w:rPr>
          <w:rFonts w:asciiTheme="majorBidi" w:hAnsiTheme="majorBidi" w:cstheme="majorBidi"/>
          <w:b/>
          <w:bCs/>
          <w:sz w:val="22"/>
          <w:szCs w:val="22"/>
        </w:rPr>
        <w:t xml:space="preserve"> (formular)</w:t>
      </w:r>
    </w:p>
    <w:p w14:paraId="5253CEF6" w14:textId="77777777" w:rsidR="00576CC4" w:rsidRPr="00B12774" w:rsidRDefault="00576CC4" w:rsidP="0069659D">
      <w:pPr>
        <w:pBdr>
          <w:top w:val="nil"/>
          <w:left w:val="nil"/>
          <w:bottom w:val="nil"/>
          <w:right w:val="nil"/>
          <w:between w:val="nil"/>
        </w:pBdr>
        <w:spacing w:line="276" w:lineRule="auto"/>
        <w:jc w:val="center"/>
        <w:rPr>
          <w:rFonts w:asciiTheme="majorBidi" w:hAnsiTheme="majorBidi" w:cstheme="majorBidi"/>
          <w:b/>
          <w:bCs/>
          <w:sz w:val="22"/>
          <w:szCs w:val="22"/>
        </w:rPr>
      </w:pPr>
    </w:p>
    <w:p w14:paraId="09081A42" w14:textId="6CD9DDC0" w:rsidR="00982F23" w:rsidRPr="00B12774" w:rsidRDefault="00982F23" w:rsidP="0069659D">
      <w:pPr>
        <w:pBdr>
          <w:top w:val="nil"/>
          <w:left w:val="nil"/>
          <w:bottom w:val="nil"/>
          <w:right w:val="nil"/>
          <w:between w:val="nil"/>
        </w:pBdr>
        <w:spacing w:line="276" w:lineRule="auto"/>
        <w:jc w:val="center"/>
        <w:rPr>
          <w:rFonts w:asciiTheme="majorBidi" w:hAnsiTheme="majorBidi" w:cstheme="majorBidi"/>
          <w:b/>
          <w:bCs/>
          <w:sz w:val="22"/>
          <w:szCs w:val="22"/>
        </w:rPr>
      </w:pPr>
      <w:r w:rsidRPr="00B12774">
        <w:rPr>
          <w:rFonts w:asciiTheme="majorBidi" w:hAnsiTheme="majorBidi" w:cstheme="majorBidi"/>
          <w:b/>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B12774" w:rsidRDefault="00982F23" w:rsidP="001B09B4">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Părţile:</w:t>
      </w:r>
    </w:p>
    <w:p w14:paraId="39B778D3" w14:textId="7022B254" w:rsidR="00156A4E" w:rsidRPr="00156A4E" w:rsidRDefault="00156A4E" w:rsidP="002D2CEA">
      <w:pPr>
        <w:pStyle w:val="ListParagraph"/>
        <w:numPr>
          <w:ilvl w:val="0"/>
          <w:numId w:val="18"/>
        </w:numPr>
        <w:ind w:left="360" w:hanging="360"/>
        <w:jc w:val="both"/>
        <w:rPr>
          <w:rFonts w:asciiTheme="majorBidi" w:hAnsiTheme="majorBidi" w:cstheme="majorBidi"/>
          <w:sz w:val="22"/>
          <w:szCs w:val="22"/>
        </w:rPr>
      </w:pPr>
      <w:r w:rsidRPr="00156A4E">
        <w:rPr>
          <w:rFonts w:asciiTheme="majorBidi" w:hAnsiTheme="majorBidi" w:cstheme="majorBidi"/>
          <w:b/>
          <w:bCs/>
          <w:sz w:val="22"/>
          <w:szCs w:val="22"/>
        </w:rPr>
        <w:t>Ministerul Educației</w:t>
      </w:r>
      <w:r w:rsidRPr="00156A4E">
        <w:rPr>
          <w:rFonts w:asciiTheme="majorBidi" w:hAnsiTheme="majorBidi" w:cstheme="majorBidi"/>
          <w:sz w:val="22"/>
          <w:szCs w:val="22"/>
        </w:rPr>
        <w:t xml:space="preserve">, denumit în continuare </w:t>
      </w:r>
      <w:r w:rsidRPr="00156A4E">
        <w:rPr>
          <w:rFonts w:asciiTheme="majorBidi" w:hAnsiTheme="majorBidi" w:cstheme="majorBidi"/>
          <w:b/>
          <w:bCs/>
          <w:sz w:val="22"/>
          <w:szCs w:val="22"/>
        </w:rPr>
        <w:t>ME</w:t>
      </w:r>
      <w:r w:rsidRPr="00156A4E">
        <w:rPr>
          <w:rFonts w:asciiTheme="majorBidi" w:hAnsiTheme="majorBidi" w:cstheme="majorBidi"/>
          <w:sz w:val="22"/>
          <w:szCs w:val="22"/>
        </w:rPr>
        <w:t xml:space="preserve">, </w:t>
      </w:r>
      <w:r w:rsidRPr="00156A4E">
        <w:rPr>
          <w:rFonts w:asciiTheme="majorBidi" w:hAnsiTheme="majorBidi" w:cstheme="majorBidi"/>
          <w:iCs/>
          <w:sz w:val="22"/>
          <w:szCs w:val="22"/>
        </w:rPr>
        <w:t>cu</w:t>
      </w:r>
      <w:r w:rsidRPr="00156A4E">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 ministru,  în </w:t>
      </w:r>
      <w:r w:rsidRPr="00156A4E">
        <w:rPr>
          <w:rFonts w:asciiTheme="majorBidi" w:hAnsiTheme="majorBidi" w:cstheme="majorBidi"/>
          <w:iCs/>
          <w:sz w:val="22"/>
          <w:szCs w:val="22"/>
        </w:rPr>
        <w:t xml:space="preserve">calitate de </w:t>
      </w:r>
      <w:r w:rsidRPr="00156A4E">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 apelul</w:t>
      </w:r>
      <w:r w:rsidRPr="00156A4E">
        <w:rPr>
          <w:rFonts w:asciiTheme="majorBidi" w:eastAsia="Arial Narrow" w:hAnsiTheme="majorBidi" w:cstheme="majorBidi"/>
          <w:sz w:val="22"/>
          <w:szCs w:val="22"/>
        </w:rPr>
        <w:t xml:space="preserve"> </w:t>
      </w:r>
      <w:r w:rsidRPr="00156A4E">
        <w:rPr>
          <w:rFonts w:asciiTheme="majorBidi" w:eastAsia="Arial Narrow" w:hAnsiTheme="majorBidi" w:cstheme="majorBidi"/>
          <w:i/>
          <w:iCs/>
          <w:sz w:val="22"/>
          <w:szCs w:val="22"/>
        </w:rPr>
        <w:t>Construcția infrastructurii universitare pentru campusurile studențești ale viitorului</w:t>
      </w:r>
      <w:r w:rsidRPr="00156A4E">
        <w:rPr>
          <w:rFonts w:asciiTheme="majorBidi" w:hAnsiTheme="majorBidi" w:cstheme="majorBidi"/>
          <w:b/>
          <w:bCs/>
          <w:iCs/>
          <w:sz w:val="22"/>
          <w:szCs w:val="22"/>
        </w:rPr>
        <w:t>:</w:t>
      </w:r>
    </w:p>
    <w:p w14:paraId="4EA3136A" w14:textId="77777777" w:rsidR="00156A4E" w:rsidRDefault="00156A4E" w:rsidP="00156A4E">
      <w:pPr>
        <w:pStyle w:val="ListParagraph"/>
        <w:ind w:left="360"/>
        <w:jc w:val="both"/>
        <w:rPr>
          <w:rFonts w:asciiTheme="majorBidi" w:hAnsiTheme="majorBidi" w:cstheme="majorBidi"/>
          <w:sz w:val="22"/>
          <w:szCs w:val="22"/>
        </w:rPr>
      </w:pPr>
    </w:p>
    <w:p w14:paraId="612C9E66" w14:textId="77777777" w:rsidR="00156A4E" w:rsidRDefault="00156A4E" w:rsidP="00156A4E">
      <w:pPr>
        <w:pStyle w:val="ListParagraph"/>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07C5A78B" w14:textId="77777777" w:rsidR="00156A4E" w:rsidRPr="00576CC4" w:rsidRDefault="00156A4E" w:rsidP="00156A4E">
      <w:pPr>
        <w:pStyle w:val="ListParagraph"/>
        <w:ind w:left="360"/>
        <w:jc w:val="both"/>
        <w:rPr>
          <w:rFonts w:asciiTheme="majorBidi" w:hAnsiTheme="majorBidi" w:cstheme="majorBidi"/>
          <w:sz w:val="22"/>
          <w:szCs w:val="22"/>
        </w:rPr>
      </w:pPr>
    </w:p>
    <w:p w14:paraId="44B935F8" w14:textId="77777777" w:rsidR="00156A4E" w:rsidRPr="00576CC4" w:rsidRDefault="00156A4E" w:rsidP="00156A4E">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105846F6" w14:textId="77777777" w:rsidR="00156A4E" w:rsidRPr="00576CC4" w:rsidRDefault="00156A4E" w:rsidP="00156A4E">
      <w:pPr>
        <w:pStyle w:val="ListParagraph"/>
        <w:widowControl/>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12774" w:rsidRDefault="00982F23"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259FF634"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w:t>
      </w:r>
      <w:r w:rsidR="00841405">
        <w:rPr>
          <w:rFonts w:asciiTheme="majorBidi" w:hAnsiTheme="majorBidi" w:cstheme="majorBidi"/>
          <w:bCs/>
          <w:sz w:val="22"/>
          <w:szCs w:val="22"/>
        </w:rPr>
        <w:t xml:space="preserve"> </w:t>
      </w:r>
      <w:r w:rsidRPr="00576CC4">
        <w:rPr>
          <w:rFonts w:asciiTheme="majorBidi" w:hAnsiTheme="majorBidi" w:cstheme="majorBidi"/>
          <w:bCs/>
          <w:sz w:val="22"/>
          <w:szCs w:val="22"/>
        </w:rPr>
        <w:t>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4373C7C1"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w:t>
      </w:r>
      <w:r w:rsidR="001D4DDD">
        <w:rPr>
          <w:rFonts w:asciiTheme="majorBidi" w:hAnsiTheme="majorBidi" w:cstheme="majorBidi"/>
          <w:bCs/>
          <w:sz w:val="22"/>
          <w:szCs w:val="22"/>
        </w:rPr>
        <w:t>roiecte, este denumită "Proiect</w:t>
      </w:r>
      <w:r w:rsidRPr="00576CC4">
        <w:rPr>
          <w:rFonts w:asciiTheme="majorBidi" w:hAnsiTheme="majorBidi" w:cstheme="majorBidi"/>
          <w:bCs/>
          <w:sz w:val="22"/>
          <w:szCs w:val="22"/>
        </w:rPr>
        <w:t>"</w:t>
      </w:r>
      <w:r w:rsidR="001D4DDD">
        <w:rPr>
          <w:rFonts w:asciiTheme="majorBidi" w:hAnsiTheme="majorBidi" w:cstheme="majorBidi"/>
          <w:bCs/>
          <w:sz w:val="22"/>
          <w:szCs w:val="22"/>
        </w:rPr>
        <w:t>.</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1 - Obiectul contractului</w:t>
      </w:r>
    </w:p>
    <w:p w14:paraId="5B5692C5" w14:textId="2D20774A" w:rsidR="00273109" w:rsidRPr="006C0540" w:rsidRDefault="001C1B4A" w:rsidP="00041DAD">
      <w:pPr>
        <w:pStyle w:val="ListParagraph"/>
        <w:widowControl/>
        <w:numPr>
          <w:ilvl w:val="0"/>
          <w:numId w:val="13"/>
        </w:numPr>
        <w:jc w:val="both"/>
        <w:rPr>
          <w:rFonts w:asciiTheme="majorBidi" w:eastAsia="Arial Narrow" w:hAnsiTheme="majorBidi" w:cstheme="majorBidi"/>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 xml:space="preserve">apelului </w:t>
      </w:r>
      <w:bookmarkEnd w:id="0"/>
      <w:r w:rsidR="00841405" w:rsidRPr="00841405">
        <w:rPr>
          <w:rFonts w:asciiTheme="majorBidi" w:eastAsia="Arial Narrow" w:hAnsiTheme="majorBidi" w:cstheme="majorBidi"/>
          <w:i/>
          <w:iCs/>
          <w:sz w:val="22"/>
          <w:szCs w:val="22"/>
        </w:rPr>
        <w:t>Construcția infrastructurii universitare pentru campusurile studențești ale viitorului</w:t>
      </w:r>
      <w:r w:rsidRPr="00576CC4">
        <w:rPr>
          <w:rFonts w:asciiTheme="majorBidi" w:hAnsiTheme="majorBidi" w:cstheme="majorBidi"/>
          <w:sz w:val="22"/>
          <w:szCs w:val="22"/>
        </w:rPr>
        <w:t xml:space="preserve">, prin </w:t>
      </w:r>
      <w:r w:rsidR="001648F8" w:rsidRPr="006C0540">
        <w:rPr>
          <w:rFonts w:asciiTheme="majorBidi" w:eastAsia="Arial Narrow" w:hAnsiTheme="majorBidi" w:cstheme="majorBidi"/>
          <w:sz w:val="22"/>
          <w:szCs w:val="22"/>
        </w:rPr>
        <w:t>PNRR</w:t>
      </w:r>
      <w:r w:rsidR="006C0540" w:rsidRPr="006C0540">
        <w:rPr>
          <w:rFonts w:asciiTheme="majorBidi" w:eastAsia="Arial Narrow" w:hAnsiTheme="majorBidi" w:cstheme="majorBidi"/>
          <w:sz w:val="22"/>
          <w:szCs w:val="22"/>
        </w:rPr>
        <w:t xml:space="preserve">, </w:t>
      </w:r>
      <w:r w:rsidR="001648F8" w:rsidRPr="006C0540">
        <w:rPr>
          <w:rFonts w:asciiTheme="majorBidi" w:hAnsiTheme="majorBidi" w:cstheme="majorBidi"/>
          <w:sz w:val="22"/>
          <w:szCs w:val="22"/>
        </w:rPr>
        <w:t>Pilonul VI. Politici pentru noua generație</w:t>
      </w:r>
      <w:r w:rsidR="006C0540" w:rsidRPr="006C0540">
        <w:rPr>
          <w:rFonts w:asciiTheme="majorBidi" w:hAnsiTheme="majorBidi" w:cstheme="majorBidi"/>
          <w:sz w:val="22"/>
          <w:szCs w:val="22"/>
        </w:rPr>
        <w:t>,</w:t>
      </w:r>
      <w:r w:rsidR="001648F8" w:rsidRPr="006C0540">
        <w:rPr>
          <w:rFonts w:asciiTheme="majorBidi" w:hAnsiTheme="majorBidi" w:cstheme="majorBidi"/>
          <w:sz w:val="22"/>
          <w:szCs w:val="22"/>
        </w:rPr>
        <w:t xml:space="preserve"> </w:t>
      </w:r>
      <w:r w:rsidR="001648F8" w:rsidRPr="006C0540">
        <w:rPr>
          <w:rFonts w:asciiTheme="majorBidi" w:eastAsia="Arial Narrow" w:hAnsiTheme="majorBidi" w:cstheme="majorBidi"/>
          <w:sz w:val="22"/>
          <w:szCs w:val="22"/>
        </w:rPr>
        <w:t>Componenta C15: Educație</w:t>
      </w:r>
      <w:r w:rsidR="006C0540" w:rsidRPr="006C0540">
        <w:rPr>
          <w:rFonts w:asciiTheme="majorBidi" w:eastAsia="Arial Narrow" w:hAnsiTheme="majorBidi" w:cstheme="majorBidi"/>
          <w:sz w:val="22"/>
          <w:szCs w:val="22"/>
        </w:rPr>
        <w:t xml:space="preserve">, </w:t>
      </w:r>
      <w:r w:rsidR="00273109" w:rsidRPr="006C0540">
        <w:rPr>
          <w:rFonts w:asciiTheme="majorBidi" w:eastAsia="Arial Narrow" w:hAnsiTheme="majorBidi" w:cstheme="majorBidi"/>
          <w:sz w:val="22"/>
          <w:szCs w:val="22"/>
        </w:rPr>
        <w:t>Investiția 1</w:t>
      </w:r>
      <w:r w:rsidR="00041DAD" w:rsidRPr="006C0540">
        <w:rPr>
          <w:rFonts w:asciiTheme="majorBidi" w:eastAsia="Arial Narrow" w:hAnsiTheme="majorBidi" w:cstheme="majorBidi"/>
          <w:sz w:val="22"/>
          <w:szCs w:val="22"/>
        </w:rPr>
        <w:t>7</w:t>
      </w:r>
      <w:r w:rsidR="00273109" w:rsidRPr="006C0540">
        <w:rPr>
          <w:rFonts w:asciiTheme="majorBidi" w:eastAsia="Arial Narrow" w:hAnsiTheme="majorBidi" w:cstheme="majorBidi"/>
          <w:sz w:val="22"/>
          <w:szCs w:val="22"/>
        </w:rPr>
        <w:t xml:space="preserve">. </w:t>
      </w:r>
      <w:r w:rsidR="00041DAD" w:rsidRPr="006C0540">
        <w:rPr>
          <w:rFonts w:asciiTheme="majorBidi" w:eastAsia="Arial Narrow" w:hAnsiTheme="majorBidi" w:cstheme="majorBidi"/>
          <w:sz w:val="22"/>
          <w:szCs w:val="22"/>
        </w:rPr>
        <w:t>Asigurarea infrastructurii universitare (cămine, cantine, spații de recreere</w:t>
      </w:r>
      <w:r w:rsidR="00A75645" w:rsidRPr="006C0540">
        <w:rPr>
          <w:rFonts w:asciiTheme="majorBidi" w:eastAsia="Arial Narrow" w:hAnsiTheme="majorBidi" w:cstheme="majorBidi"/>
          <w:sz w:val="22"/>
          <w:szCs w:val="22"/>
        </w:rPr>
        <w:t xml:space="preserve"> și lectură</w:t>
      </w:r>
      <w:r w:rsidR="00041DAD" w:rsidRPr="006C0540">
        <w:rPr>
          <w:rFonts w:asciiTheme="majorBidi" w:eastAsia="Arial Narrow" w:hAnsiTheme="majorBidi" w:cstheme="majorBidi"/>
          <w:sz w:val="22"/>
          <w:szCs w:val="22"/>
        </w:rPr>
        <w:t>)</w:t>
      </w:r>
      <w:r w:rsidR="006B5F46" w:rsidRPr="006C0540">
        <w:rPr>
          <w:rFonts w:asciiTheme="majorBidi" w:eastAsia="Arial Narrow" w:hAnsiTheme="majorBidi" w:cstheme="majorBidi"/>
          <w:sz w:val="22"/>
          <w:szCs w:val="22"/>
        </w:rPr>
        <w:t xml:space="preserve">. </w:t>
      </w:r>
    </w:p>
    <w:p w14:paraId="10D9AADB" w14:textId="72D7A47D"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cu titlul „</w:t>
      </w:r>
      <w:r w:rsidR="006C0540">
        <w:rPr>
          <w:rFonts w:asciiTheme="majorBidi" w:hAnsiTheme="majorBidi" w:cstheme="majorBidi"/>
          <w:bCs/>
          <w:sz w:val="22"/>
          <w:szCs w:val="22"/>
        </w:rPr>
        <w:t xml:space="preserve">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2 - Durata contractului și perioada de implementare a proiectului</w:t>
      </w:r>
    </w:p>
    <w:p w14:paraId="6D567A66"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Contractul intră în vigoare și produce efecte de la data semnării lui de către ultima parte.</w:t>
      </w:r>
    </w:p>
    <w:p w14:paraId="29A27C9D"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Data de la care începe implementarea Proiectului este ziua lucrătoare următoare intrării în vigoare a prezentului Contract.</w:t>
      </w:r>
    </w:p>
    <w:p w14:paraId="599359B1"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Perioada de implementare a Proiectului începe la data menționată la alin. (2) al prezentului articol și se încheie cel mai târziu la data de ...................................... </w:t>
      </w:r>
    </w:p>
    <w:p w14:paraId="04E4C028" w14:textId="39F113CD"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Termenul de implementare a proiectelor se poate prelungi cu maxim 6 luni de la data </w:t>
      </w:r>
      <w:proofErr w:type="spellStart"/>
      <w:r w:rsidRPr="000C7C77">
        <w:rPr>
          <w:rFonts w:asciiTheme="majorBidi" w:hAnsiTheme="majorBidi" w:cstheme="majorBidi"/>
          <w:bCs/>
          <w:sz w:val="22"/>
          <w:szCs w:val="22"/>
        </w:rPr>
        <w:t>prevazut</w:t>
      </w:r>
      <w:r>
        <w:rPr>
          <w:rFonts w:asciiTheme="majorBidi" w:hAnsiTheme="majorBidi" w:cstheme="majorBidi"/>
          <w:bCs/>
          <w:sz w:val="22"/>
          <w:szCs w:val="22"/>
        </w:rPr>
        <w:t>ă</w:t>
      </w:r>
      <w:proofErr w:type="spellEnd"/>
      <w:r w:rsidRPr="000C7C77">
        <w:rPr>
          <w:rFonts w:asciiTheme="majorBidi" w:hAnsiTheme="majorBidi" w:cstheme="majorBidi"/>
          <w:bCs/>
          <w:sz w:val="22"/>
          <w:szCs w:val="22"/>
        </w:rPr>
        <w:t xml:space="preserve"> </w:t>
      </w:r>
      <w:r>
        <w:rPr>
          <w:rFonts w:asciiTheme="majorBidi" w:hAnsiTheme="majorBidi" w:cstheme="majorBidi"/>
          <w:bCs/>
          <w:sz w:val="22"/>
          <w:szCs w:val="22"/>
        </w:rPr>
        <w:t>î</w:t>
      </w:r>
      <w:r w:rsidRPr="000C7C77">
        <w:rPr>
          <w:rFonts w:asciiTheme="majorBidi" w:hAnsiTheme="majorBidi" w:cstheme="majorBidi"/>
          <w:bCs/>
          <w:sz w:val="22"/>
          <w:szCs w:val="22"/>
        </w:rPr>
        <w:t xml:space="preserve">n CID, </w:t>
      </w:r>
      <w:r>
        <w:rPr>
          <w:rFonts w:asciiTheme="majorBidi" w:hAnsiTheme="majorBidi" w:cstheme="majorBidi"/>
          <w:bCs/>
          <w:sz w:val="22"/>
          <w:szCs w:val="22"/>
        </w:rPr>
        <w:t>î</w:t>
      </w:r>
      <w:r w:rsidRPr="000C7C77">
        <w:rPr>
          <w:rFonts w:asciiTheme="majorBidi" w:hAnsiTheme="majorBidi" w:cstheme="majorBidi"/>
          <w:bCs/>
          <w:sz w:val="22"/>
          <w:szCs w:val="22"/>
        </w:rPr>
        <w:t>ns</w:t>
      </w:r>
      <w:r>
        <w:rPr>
          <w:rFonts w:asciiTheme="majorBidi" w:hAnsiTheme="majorBidi" w:cstheme="majorBidi"/>
          <w:bCs/>
          <w:sz w:val="22"/>
          <w:szCs w:val="22"/>
        </w:rPr>
        <w:t>ă</w:t>
      </w:r>
      <w:r w:rsidRPr="000C7C77">
        <w:rPr>
          <w:rFonts w:asciiTheme="majorBidi" w:hAnsiTheme="majorBidi" w:cstheme="majorBidi"/>
          <w:bCs/>
          <w:sz w:val="22"/>
          <w:szCs w:val="22"/>
        </w:rPr>
        <w:t xml:space="preserve"> realizarea investi</w:t>
      </w:r>
      <w:r>
        <w:rPr>
          <w:rFonts w:asciiTheme="majorBidi" w:hAnsiTheme="majorBidi" w:cstheme="majorBidi"/>
          <w:bCs/>
          <w:sz w:val="22"/>
          <w:szCs w:val="22"/>
        </w:rPr>
        <w:t>ț</w:t>
      </w:r>
      <w:r w:rsidRPr="000C7C77">
        <w:rPr>
          <w:rFonts w:asciiTheme="majorBidi" w:hAnsiTheme="majorBidi" w:cstheme="majorBidi"/>
          <w:bCs/>
          <w:sz w:val="22"/>
          <w:szCs w:val="22"/>
        </w:rPr>
        <w:t>iilor nu poate dep</w:t>
      </w:r>
      <w:r>
        <w:rPr>
          <w:rFonts w:asciiTheme="majorBidi" w:hAnsiTheme="majorBidi" w:cstheme="majorBidi"/>
          <w:bCs/>
          <w:sz w:val="22"/>
          <w:szCs w:val="22"/>
        </w:rPr>
        <w:t>ăși</w:t>
      </w:r>
      <w:r w:rsidRPr="000C7C77">
        <w:rPr>
          <w:rFonts w:asciiTheme="majorBidi" w:hAnsiTheme="majorBidi" w:cstheme="majorBidi"/>
          <w:bCs/>
          <w:sz w:val="22"/>
          <w:szCs w:val="22"/>
        </w:rPr>
        <w:t xml:space="preserve"> data transmiterii cererii de plata 6 aferenta </w:t>
      </w:r>
      <w:r>
        <w:rPr>
          <w:rFonts w:asciiTheme="majorBidi" w:hAnsiTheme="majorBidi" w:cstheme="majorBidi"/>
          <w:bCs/>
          <w:sz w:val="22"/>
          <w:szCs w:val="22"/>
        </w:rPr>
        <w:t>ț</w:t>
      </w:r>
      <w:r w:rsidRPr="000C7C77">
        <w:rPr>
          <w:rFonts w:asciiTheme="majorBidi" w:hAnsiTheme="majorBidi" w:cstheme="majorBidi"/>
          <w:bCs/>
          <w:sz w:val="22"/>
          <w:szCs w:val="22"/>
        </w:rPr>
        <w:t xml:space="preserve">intelor  503, 504 </w:t>
      </w:r>
      <w:r>
        <w:rPr>
          <w:rFonts w:asciiTheme="majorBidi" w:hAnsiTheme="majorBidi" w:cstheme="majorBidi"/>
          <w:bCs/>
          <w:sz w:val="22"/>
          <w:szCs w:val="22"/>
        </w:rPr>
        <w:t>ș</w:t>
      </w:r>
      <w:r w:rsidRPr="000C7C77">
        <w:rPr>
          <w:rFonts w:asciiTheme="majorBidi" w:hAnsiTheme="majorBidi" w:cstheme="majorBidi"/>
          <w:bCs/>
          <w:sz w:val="22"/>
          <w:szCs w:val="22"/>
        </w:rPr>
        <w:t xml:space="preserve">i 505 </w:t>
      </w:r>
      <w:r>
        <w:rPr>
          <w:rFonts w:asciiTheme="majorBidi" w:hAnsiTheme="majorBidi" w:cstheme="majorBidi"/>
          <w:bCs/>
          <w:sz w:val="22"/>
          <w:szCs w:val="22"/>
        </w:rPr>
        <w:t>ș</w:t>
      </w:r>
      <w:r w:rsidRPr="000C7C77">
        <w:rPr>
          <w:rFonts w:asciiTheme="majorBidi" w:hAnsiTheme="majorBidi" w:cstheme="majorBidi"/>
          <w:bCs/>
          <w:sz w:val="22"/>
          <w:szCs w:val="22"/>
        </w:rPr>
        <w:t>i data transmiterii  cererii de plata 9 aferent</w:t>
      </w:r>
      <w:r>
        <w:rPr>
          <w:rFonts w:asciiTheme="majorBidi" w:hAnsiTheme="majorBidi" w:cstheme="majorBidi"/>
          <w:bCs/>
          <w:sz w:val="22"/>
          <w:szCs w:val="22"/>
        </w:rPr>
        <w:t>ă</w:t>
      </w:r>
      <w:r w:rsidRPr="000C7C77">
        <w:rPr>
          <w:rFonts w:asciiTheme="majorBidi" w:hAnsiTheme="majorBidi" w:cstheme="majorBidi"/>
          <w:bCs/>
          <w:sz w:val="22"/>
          <w:szCs w:val="22"/>
        </w:rPr>
        <w:t xml:space="preserve"> </w:t>
      </w:r>
      <w:r>
        <w:rPr>
          <w:rFonts w:asciiTheme="majorBidi" w:hAnsiTheme="majorBidi" w:cstheme="majorBidi"/>
          <w:bCs/>
          <w:sz w:val="22"/>
          <w:szCs w:val="22"/>
        </w:rPr>
        <w:t>ț</w:t>
      </w:r>
      <w:r w:rsidRPr="000C7C77">
        <w:rPr>
          <w:rFonts w:asciiTheme="majorBidi" w:hAnsiTheme="majorBidi" w:cstheme="majorBidi"/>
          <w:bCs/>
          <w:sz w:val="22"/>
          <w:szCs w:val="22"/>
        </w:rPr>
        <w:t>intei 506.</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3 - Valoarea Contractului</w:t>
      </w:r>
    </w:p>
    <w:p w14:paraId="54C72920" w14:textId="786FF614" w:rsidR="00982F23"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520"/>
        <w:gridCol w:w="1710"/>
        <w:gridCol w:w="1530"/>
        <w:gridCol w:w="5030"/>
      </w:tblGrid>
      <w:tr w:rsidR="009B0CC9" w:rsidRPr="00576CC4" w14:paraId="480DF0E6" w14:textId="5363D624" w:rsidTr="0099490F">
        <w:trPr>
          <w:trHeight w:val="529"/>
          <w:jc w:val="center"/>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503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ED2DB9">
            <w:pPr>
              <w:widowControl/>
              <w:jc w:val="center"/>
              <w:rPr>
                <w:rFonts w:asciiTheme="majorBidi" w:eastAsia="Times New Roman" w:hAnsiTheme="majorBidi" w:cstheme="majorBidi"/>
                <w:bCs/>
                <w:sz w:val="22"/>
                <w:szCs w:val="22"/>
                <w:lang w:eastAsia="en-US"/>
              </w:rPr>
            </w:pPr>
          </w:p>
        </w:tc>
      </w:tr>
      <w:tr w:rsidR="009B0CC9" w:rsidRPr="00576CC4" w14:paraId="41EBF5DF" w14:textId="7EC190E7" w:rsidTr="0099490F">
        <w:trPr>
          <w:trHeight w:val="817"/>
          <w:jc w:val="center"/>
        </w:trPr>
        <w:tc>
          <w:tcPr>
            <w:tcW w:w="152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530"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5030" w:type="dxa"/>
            <w:tcBorders>
              <w:top w:val="nil"/>
              <w:left w:val="nil"/>
              <w:bottom w:val="single" w:sz="8" w:space="0" w:color="auto"/>
              <w:right w:val="single" w:sz="8" w:space="0" w:color="auto"/>
            </w:tcBorders>
          </w:tcPr>
          <w:p w14:paraId="5F9CC702" w14:textId="77777777" w:rsidR="009B5CF6" w:rsidRDefault="00841405" w:rsidP="00ED2DB9">
            <w:pPr>
              <w:widowControl/>
              <w:jc w:val="center"/>
              <w:rPr>
                <w:rFonts w:asciiTheme="majorBidi" w:eastAsia="Times New Roman" w:hAnsiTheme="majorBidi" w:cstheme="majorBidi"/>
                <w:noProof/>
                <w:sz w:val="22"/>
                <w:szCs w:val="22"/>
                <w:lang w:eastAsia="en-US"/>
              </w:rPr>
            </w:pPr>
            <w:r w:rsidRPr="00841405">
              <w:rPr>
                <w:rFonts w:asciiTheme="majorBidi" w:eastAsia="Times New Roman" w:hAnsiTheme="majorBidi" w:cstheme="majorBidi"/>
                <w:noProof/>
                <w:sz w:val="22"/>
                <w:szCs w:val="22"/>
                <w:lang w:eastAsia="en-US"/>
              </w:rPr>
              <w:t>CO</w:t>
            </w:r>
            <w:r w:rsidR="009B5CF6">
              <w:rPr>
                <w:rFonts w:asciiTheme="majorBidi" w:eastAsia="Times New Roman" w:hAnsiTheme="majorBidi" w:cstheme="majorBidi"/>
                <w:noProof/>
                <w:sz w:val="22"/>
                <w:szCs w:val="22"/>
                <w:lang w:eastAsia="en-US"/>
              </w:rPr>
              <w:t>MPONENTA</w:t>
            </w:r>
          </w:p>
          <w:p w14:paraId="62E0DCE3" w14:textId="1C8B72EB" w:rsidR="009B0CC9" w:rsidRPr="00841405" w:rsidRDefault="009B0CC9" w:rsidP="00ED2DB9">
            <w:pPr>
              <w:widowControl/>
              <w:jc w:val="center"/>
              <w:rPr>
                <w:rFonts w:asciiTheme="majorBidi" w:eastAsia="Times New Roman" w:hAnsiTheme="majorBidi" w:cstheme="majorBidi"/>
                <w:sz w:val="22"/>
                <w:szCs w:val="22"/>
                <w:lang w:eastAsia="en-US"/>
              </w:rPr>
            </w:pPr>
          </w:p>
        </w:tc>
      </w:tr>
      <w:tr w:rsidR="00383590" w:rsidRPr="00576CC4" w14:paraId="4FF6E69F" w14:textId="77777777" w:rsidTr="0099490F">
        <w:trPr>
          <w:trHeight w:val="592"/>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7AC3E6E"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5E3B15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3B165977"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730E42" w14:textId="12CC81B9" w:rsidR="00383590" w:rsidRPr="009B0CC9" w:rsidRDefault="00383590" w:rsidP="00383590">
            <w:pPr>
              <w:widowControl/>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 xml:space="preserve">COMPONENTA </w:t>
            </w:r>
            <w:r w:rsidR="009B5CF6">
              <w:rPr>
                <w:rFonts w:asciiTheme="majorBidi" w:eastAsia="Times New Roman" w:hAnsiTheme="majorBidi" w:cstheme="majorBidi"/>
                <w:bCs/>
                <w:noProof/>
                <w:sz w:val="22"/>
                <w:szCs w:val="22"/>
                <w:lang w:eastAsia="en-US"/>
              </w:rPr>
              <w:t>I</w:t>
            </w:r>
            <w:r w:rsidRPr="00F249FB">
              <w:rPr>
                <w:rFonts w:asciiTheme="majorBidi" w:eastAsia="Times New Roman" w:hAnsiTheme="majorBidi" w:cstheme="majorBidi"/>
                <w:bCs/>
                <w:noProof/>
                <w:sz w:val="22"/>
                <w:szCs w:val="22"/>
                <w:lang w:eastAsia="en-US"/>
              </w:rPr>
              <w:t>: CONSTRUCȚII NOI – SPAȚII DE RECREERE ȘI LECTURĂ</w:t>
            </w:r>
          </w:p>
        </w:tc>
      </w:tr>
      <w:tr w:rsidR="00383590" w:rsidRPr="00576CC4" w14:paraId="4271FED1" w14:textId="77777777" w:rsidTr="0099490F">
        <w:trPr>
          <w:trHeight w:val="520"/>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3AE1E4B4"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070FAFB3"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7FD4257D"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D3ED0D" w14:textId="4077625A" w:rsidR="00383590" w:rsidRPr="0099490F" w:rsidRDefault="00383590" w:rsidP="00FA1C3F">
            <w:pPr>
              <w:widowControl/>
              <w:rPr>
                <w:rFonts w:asciiTheme="majorBidi" w:eastAsia="Times New Roman" w:hAnsiTheme="majorBidi" w:cstheme="majorBidi"/>
                <w:sz w:val="22"/>
                <w:szCs w:val="22"/>
                <w:lang w:eastAsia="en-US"/>
              </w:rPr>
            </w:pPr>
            <w:r w:rsidRPr="00F249FB">
              <w:rPr>
                <w:rFonts w:asciiTheme="majorBidi" w:eastAsia="Times New Roman" w:hAnsiTheme="majorBidi" w:cstheme="majorBidi"/>
                <w:bCs/>
                <w:noProof/>
                <w:sz w:val="22"/>
                <w:szCs w:val="22"/>
                <w:lang w:eastAsia="en-US"/>
              </w:rPr>
              <w:t xml:space="preserve">COMPONENTA </w:t>
            </w:r>
            <w:r w:rsidR="009B5CF6">
              <w:rPr>
                <w:rFonts w:asciiTheme="majorBidi" w:eastAsia="Times New Roman" w:hAnsiTheme="majorBidi" w:cstheme="majorBidi"/>
                <w:bCs/>
                <w:noProof/>
                <w:sz w:val="22"/>
                <w:szCs w:val="22"/>
                <w:lang w:eastAsia="en-US"/>
              </w:rPr>
              <w:t>II</w:t>
            </w:r>
            <w:r w:rsidRPr="00F249FB">
              <w:rPr>
                <w:rFonts w:asciiTheme="majorBidi" w:eastAsia="Times New Roman" w:hAnsiTheme="majorBidi" w:cstheme="majorBidi"/>
                <w:bCs/>
                <w:noProof/>
                <w:sz w:val="22"/>
                <w:szCs w:val="22"/>
                <w:lang w:eastAsia="en-US"/>
              </w:rPr>
              <w:t>: CONSTRUCȚII NOI – SPAȚII CU DESTINAȚIA CANTINĂ</w:t>
            </w:r>
          </w:p>
        </w:tc>
      </w:tr>
      <w:tr w:rsidR="00383590" w:rsidRPr="00576CC4" w14:paraId="02EB02D1" w14:textId="6786CAC0" w:rsidTr="0099490F">
        <w:trPr>
          <w:trHeight w:val="160"/>
          <w:jc w:val="center"/>
        </w:trPr>
        <w:tc>
          <w:tcPr>
            <w:tcW w:w="1520" w:type="dxa"/>
            <w:tcBorders>
              <w:top w:val="nil"/>
              <w:left w:val="single" w:sz="8" w:space="0" w:color="auto"/>
              <w:bottom w:val="single" w:sz="4" w:space="0" w:color="auto"/>
              <w:right w:val="single" w:sz="8" w:space="0" w:color="auto"/>
            </w:tcBorders>
            <w:shd w:val="clear" w:color="auto" w:fill="auto"/>
            <w:noWrap/>
            <w:vAlign w:val="center"/>
          </w:tcPr>
          <w:p w14:paraId="14444F72" w14:textId="0A2DC7B7"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710" w:type="dxa"/>
            <w:tcBorders>
              <w:top w:val="nil"/>
              <w:left w:val="nil"/>
              <w:bottom w:val="single" w:sz="4" w:space="0" w:color="auto"/>
              <w:right w:val="single" w:sz="8" w:space="0" w:color="auto"/>
            </w:tcBorders>
            <w:shd w:val="clear" w:color="auto" w:fill="auto"/>
            <w:vAlign w:val="center"/>
          </w:tcPr>
          <w:p w14:paraId="1BA87D51" w14:textId="7A32CEA0"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530" w:type="dxa"/>
            <w:tcBorders>
              <w:top w:val="nil"/>
              <w:left w:val="nil"/>
              <w:bottom w:val="single" w:sz="4" w:space="0" w:color="auto"/>
              <w:right w:val="single" w:sz="8" w:space="0" w:color="auto"/>
            </w:tcBorders>
            <w:shd w:val="clear" w:color="auto" w:fill="auto"/>
            <w:vAlign w:val="center"/>
          </w:tcPr>
          <w:p w14:paraId="29DC490B" w14:textId="243401B9"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5030" w:type="dxa"/>
            <w:tcBorders>
              <w:top w:val="nil"/>
              <w:left w:val="nil"/>
              <w:bottom w:val="single" w:sz="4" w:space="0" w:color="auto"/>
              <w:right w:val="single" w:sz="8" w:space="0" w:color="auto"/>
            </w:tcBorders>
          </w:tcPr>
          <w:p w14:paraId="391D233C" w14:textId="238BE7A4" w:rsidR="00383590" w:rsidRPr="00576CC4" w:rsidRDefault="00383590" w:rsidP="00383590">
            <w:pPr>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 xml:space="preserve">COMPONENTA </w:t>
            </w:r>
            <w:r w:rsidR="009B5CF6">
              <w:rPr>
                <w:rFonts w:asciiTheme="majorBidi" w:eastAsia="Times New Roman" w:hAnsiTheme="majorBidi" w:cstheme="majorBidi"/>
                <w:bCs/>
                <w:noProof/>
                <w:sz w:val="22"/>
                <w:szCs w:val="22"/>
                <w:lang w:eastAsia="en-US"/>
              </w:rPr>
              <w:t>III</w:t>
            </w:r>
            <w:r w:rsidRPr="00F249FB">
              <w:rPr>
                <w:rFonts w:asciiTheme="majorBidi" w:eastAsia="Times New Roman" w:hAnsiTheme="majorBidi" w:cstheme="majorBidi"/>
                <w:bCs/>
                <w:noProof/>
                <w:sz w:val="22"/>
                <w:szCs w:val="22"/>
                <w:lang w:eastAsia="en-US"/>
              </w:rPr>
              <w:t>: CONSTRUCȚII NOI – SPAȚII DE CAZARE CĂMINE</w:t>
            </w:r>
          </w:p>
        </w:tc>
      </w:tr>
      <w:tr w:rsidR="00383590" w:rsidRPr="00576CC4" w14:paraId="67D984AA" w14:textId="77777777" w:rsidTr="0099490F">
        <w:trPr>
          <w:trHeight w:val="160"/>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5F0F5" w14:textId="614154BC"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9BCBA"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D49D74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single" w:sz="4" w:space="0" w:color="auto"/>
              <w:left w:val="single" w:sz="4" w:space="0" w:color="auto"/>
              <w:bottom w:val="single" w:sz="4" w:space="0" w:color="auto"/>
              <w:right w:val="single" w:sz="4" w:space="0" w:color="auto"/>
            </w:tcBorders>
          </w:tcPr>
          <w:p w14:paraId="24D3AE7C" w14:textId="4E64F626" w:rsidR="00383590" w:rsidRPr="00480E71" w:rsidRDefault="00383590" w:rsidP="00383590">
            <w:pPr>
              <w:jc w:val="center"/>
              <w:rPr>
                <w:rFonts w:asciiTheme="majorBidi" w:eastAsia="Times New Roman" w:hAnsiTheme="majorBidi" w:cstheme="majorBidi"/>
                <w:b/>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sidR="009B5CF6">
              <w:rPr>
                <w:rFonts w:asciiTheme="majorBidi" w:eastAsia="Times New Roman" w:hAnsiTheme="majorBidi" w:cstheme="majorBidi"/>
                <w:b/>
                <w:bCs/>
                <w:noProof/>
                <w:sz w:val="22"/>
                <w:szCs w:val="22"/>
                <w:lang w:eastAsia="en-US"/>
              </w:rPr>
              <w:t>I</w:t>
            </w:r>
            <w:r w:rsidR="00841405">
              <w:rPr>
                <w:rFonts w:asciiTheme="majorBidi" w:eastAsia="Times New Roman" w:hAnsiTheme="majorBidi" w:cstheme="majorBidi"/>
                <w:b/>
                <w:bCs/>
                <w:noProof/>
                <w:sz w:val="22"/>
                <w:szCs w:val="22"/>
                <w:lang w:eastAsia="en-US"/>
              </w:rPr>
              <w:t>+</w:t>
            </w:r>
            <w:r w:rsidR="009B5CF6">
              <w:rPr>
                <w:rFonts w:asciiTheme="majorBidi" w:eastAsia="Times New Roman" w:hAnsiTheme="majorBidi" w:cstheme="majorBidi"/>
                <w:b/>
                <w:bCs/>
                <w:noProof/>
                <w:sz w:val="22"/>
                <w:szCs w:val="22"/>
                <w:lang w:eastAsia="en-US"/>
              </w:rPr>
              <w:t>II</w:t>
            </w:r>
            <w:r w:rsidR="00841405">
              <w:rPr>
                <w:rFonts w:asciiTheme="majorBidi" w:eastAsia="Times New Roman" w:hAnsiTheme="majorBidi" w:cstheme="majorBidi"/>
                <w:b/>
                <w:bCs/>
                <w:noProof/>
                <w:sz w:val="22"/>
                <w:szCs w:val="22"/>
                <w:lang w:eastAsia="en-US"/>
              </w:rPr>
              <w:t>+</w:t>
            </w:r>
            <w:r w:rsidR="009B5CF6">
              <w:rPr>
                <w:rFonts w:asciiTheme="majorBidi" w:eastAsia="Times New Roman" w:hAnsiTheme="majorBidi" w:cstheme="majorBidi"/>
                <w:b/>
                <w:bCs/>
                <w:noProof/>
                <w:sz w:val="22"/>
                <w:szCs w:val="22"/>
                <w:lang w:eastAsia="en-US"/>
              </w:rPr>
              <w:t>III</w:t>
            </w:r>
          </w:p>
        </w:tc>
      </w:tr>
    </w:tbl>
    <w:p w14:paraId="3F57F736" w14:textId="139D18F4"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35DC821D" w14:textId="77777777" w:rsidR="007668AF" w:rsidRDefault="007668AF"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sectPr w:rsidR="007668AF" w:rsidSect="00114C76">
          <w:headerReference w:type="default" r:id="rId8"/>
          <w:footerReference w:type="default" r:id="rId9"/>
          <w:type w:val="continuous"/>
          <w:pgSz w:w="12240" w:h="15840"/>
          <w:pgMar w:top="1710" w:right="990" w:bottom="1260" w:left="1440" w:header="720" w:footer="576" w:gutter="0"/>
          <w:cols w:space="720"/>
          <w:docGrid w:linePitch="360"/>
        </w:sectPr>
      </w:pPr>
    </w:p>
    <w:p w14:paraId="0CD3173E" w14:textId="2388100D"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0CD7BAE9" w14:textId="71FFD629"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B12774">
        <w:rPr>
          <w:rFonts w:asciiTheme="majorBidi" w:hAnsiTheme="majorBidi" w:cstheme="majorBidi"/>
          <w:bCs/>
          <w:sz w:val="22"/>
          <w:szCs w:val="22"/>
        </w:rPr>
        <w:t>3</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1963"/>
        <w:gridCol w:w="2430"/>
        <w:gridCol w:w="1890"/>
        <w:gridCol w:w="3517"/>
      </w:tblGrid>
      <w:tr w:rsidR="00B12774" w:rsidRPr="00576CC4" w14:paraId="2BE1254D" w14:textId="57CC1EDC" w:rsidTr="00707E0F">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8B630" w14:textId="695FBB09" w:rsidR="00B12774" w:rsidRPr="00576CC4" w:rsidRDefault="00B12774"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Pr>
                <w:rFonts w:asciiTheme="majorBidi" w:eastAsia="Times New Roman" w:hAnsiTheme="majorBidi" w:cstheme="majorBidi"/>
                <w:bCs/>
                <w:sz w:val="22"/>
                <w:szCs w:val="22"/>
                <w:lang w:eastAsia="en-US"/>
              </w:rPr>
              <w:t>3</w:t>
            </w:r>
          </w:p>
        </w:tc>
      </w:tr>
      <w:tr w:rsidR="00B12774" w:rsidRPr="00576CC4" w14:paraId="55CEA3E5" w14:textId="4B02283A" w:rsidTr="004B693E">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tcPr>
          <w:p w14:paraId="2CCE1C47" w14:textId="3C61FAF5"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B12774" w:rsidRPr="00576CC4" w14:paraId="7A2D198C" w14:textId="7A1F9626" w:rsidTr="00841405">
        <w:trPr>
          <w:trHeight w:val="205"/>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78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8D01F26" w14:textId="60D9616B"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9B5CF6" w:rsidRPr="00576CC4" w14:paraId="40878C3F" w14:textId="5347CBA5" w:rsidTr="00841405">
        <w:trPr>
          <w:trHeight w:val="880"/>
        </w:trPr>
        <w:tc>
          <w:tcPr>
            <w:tcW w:w="1963" w:type="dxa"/>
            <w:vMerge/>
            <w:tcBorders>
              <w:top w:val="nil"/>
              <w:left w:val="single" w:sz="8" w:space="0" w:color="auto"/>
              <w:bottom w:val="single" w:sz="8" w:space="0" w:color="000000"/>
              <w:right w:val="single" w:sz="8" w:space="0" w:color="auto"/>
            </w:tcBorders>
            <w:vAlign w:val="center"/>
            <w:hideMark/>
          </w:tcPr>
          <w:p w14:paraId="2F3A0ECA" w14:textId="77777777" w:rsidR="009B5CF6" w:rsidRPr="00576CC4" w:rsidRDefault="009B5CF6" w:rsidP="009B5CF6">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9B5CF6" w:rsidRPr="00576CC4" w:rsidRDefault="009B5CF6" w:rsidP="009B5CF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B5CF6" w:rsidRPr="00576CC4" w:rsidRDefault="009B5CF6" w:rsidP="009B5CF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517" w:type="dxa"/>
            <w:tcBorders>
              <w:top w:val="nil"/>
              <w:left w:val="nil"/>
              <w:bottom w:val="single" w:sz="8" w:space="0" w:color="auto"/>
              <w:right w:val="single" w:sz="8" w:space="0" w:color="auto"/>
            </w:tcBorders>
          </w:tcPr>
          <w:p w14:paraId="0D8DF9BF" w14:textId="77777777" w:rsidR="009B5CF6" w:rsidRDefault="009B5CF6" w:rsidP="009B5CF6">
            <w:pPr>
              <w:widowControl/>
              <w:jc w:val="center"/>
              <w:rPr>
                <w:rFonts w:asciiTheme="majorBidi" w:eastAsia="Times New Roman" w:hAnsiTheme="majorBidi" w:cstheme="majorBidi"/>
                <w:noProof/>
                <w:sz w:val="22"/>
                <w:szCs w:val="22"/>
                <w:lang w:eastAsia="en-US"/>
              </w:rPr>
            </w:pPr>
            <w:r w:rsidRPr="00841405">
              <w:rPr>
                <w:rFonts w:asciiTheme="majorBidi" w:eastAsia="Times New Roman" w:hAnsiTheme="majorBidi" w:cstheme="majorBidi"/>
                <w:noProof/>
                <w:sz w:val="22"/>
                <w:szCs w:val="22"/>
                <w:lang w:eastAsia="en-US"/>
              </w:rPr>
              <w:t>CO</w:t>
            </w:r>
            <w:r>
              <w:rPr>
                <w:rFonts w:asciiTheme="majorBidi" w:eastAsia="Times New Roman" w:hAnsiTheme="majorBidi" w:cstheme="majorBidi"/>
                <w:noProof/>
                <w:sz w:val="22"/>
                <w:szCs w:val="22"/>
                <w:lang w:eastAsia="en-US"/>
              </w:rPr>
              <w:t>MPONENTA</w:t>
            </w:r>
          </w:p>
          <w:p w14:paraId="045C66CA" w14:textId="085A5C27" w:rsidR="009B5CF6" w:rsidRPr="00576CC4" w:rsidRDefault="009B5CF6" w:rsidP="009B5CF6">
            <w:pPr>
              <w:widowControl/>
              <w:jc w:val="center"/>
              <w:rPr>
                <w:rFonts w:asciiTheme="majorBidi" w:eastAsia="Times New Roman" w:hAnsiTheme="majorBidi" w:cstheme="majorBidi"/>
                <w:bCs/>
                <w:sz w:val="22"/>
                <w:szCs w:val="22"/>
                <w:lang w:eastAsia="en-US"/>
              </w:rPr>
            </w:pPr>
          </w:p>
        </w:tc>
      </w:tr>
      <w:tr w:rsidR="009B5CF6" w:rsidRPr="00576CC4" w14:paraId="02DEE2E4"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0A9CE60"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EFE0"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44A"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61EE0266" w14:textId="56EF635D" w:rsidR="009B5CF6" w:rsidRPr="001742F5" w:rsidRDefault="009B5CF6" w:rsidP="009B5CF6">
            <w:pPr>
              <w:widowControl/>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 xml:space="preserve">COMPONENTA </w:t>
            </w:r>
            <w:r>
              <w:rPr>
                <w:rFonts w:asciiTheme="majorBidi" w:eastAsia="Times New Roman" w:hAnsiTheme="majorBidi" w:cstheme="majorBidi"/>
                <w:bCs/>
                <w:noProof/>
                <w:sz w:val="22"/>
                <w:szCs w:val="22"/>
                <w:lang w:eastAsia="en-US"/>
              </w:rPr>
              <w:t>I</w:t>
            </w:r>
            <w:r w:rsidRPr="00F249FB">
              <w:rPr>
                <w:rFonts w:asciiTheme="majorBidi" w:eastAsia="Times New Roman" w:hAnsiTheme="majorBidi" w:cstheme="majorBidi"/>
                <w:bCs/>
                <w:noProof/>
                <w:sz w:val="22"/>
                <w:szCs w:val="22"/>
                <w:lang w:eastAsia="en-US"/>
              </w:rPr>
              <w:t>: CONSTRUCȚII NOI – SPAȚII DE RECREERE ȘI LECTURĂ</w:t>
            </w:r>
          </w:p>
        </w:tc>
      </w:tr>
      <w:tr w:rsidR="009B5CF6" w:rsidRPr="00576CC4" w14:paraId="621D787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6AA58F7"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3B86B"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6E605"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77931F1C" w14:textId="48966DBD" w:rsidR="009B5CF6" w:rsidRPr="001742F5" w:rsidRDefault="009B5CF6" w:rsidP="009B5CF6">
            <w:pPr>
              <w:widowControl/>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 xml:space="preserve">COMPONENTA </w:t>
            </w:r>
            <w:r>
              <w:rPr>
                <w:rFonts w:asciiTheme="majorBidi" w:eastAsia="Times New Roman" w:hAnsiTheme="majorBidi" w:cstheme="majorBidi"/>
                <w:bCs/>
                <w:noProof/>
                <w:sz w:val="22"/>
                <w:szCs w:val="22"/>
                <w:lang w:eastAsia="en-US"/>
              </w:rPr>
              <w:t>II</w:t>
            </w:r>
            <w:r w:rsidRPr="00F249FB">
              <w:rPr>
                <w:rFonts w:asciiTheme="majorBidi" w:eastAsia="Times New Roman" w:hAnsiTheme="majorBidi" w:cstheme="majorBidi"/>
                <w:bCs/>
                <w:noProof/>
                <w:sz w:val="22"/>
                <w:szCs w:val="22"/>
                <w:lang w:eastAsia="en-US"/>
              </w:rPr>
              <w:t>: CONSTRUCȚII NOI – SPAȚII CU DESTINAȚIA CANTINĂ</w:t>
            </w:r>
          </w:p>
        </w:tc>
      </w:tr>
      <w:tr w:rsidR="009B5CF6" w:rsidRPr="00576CC4" w14:paraId="1650A9D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3BFF09D"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E76F4"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61FCB"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4" w:space="0" w:color="auto"/>
              <w:right w:val="single" w:sz="8" w:space="0" w:color="auto"/>
            </w:tcBorders>
          </w:tcPr>
          <w:p w14:paraId="131E8E95" w14:textId="72E44BAE" w:rsidR="009B5CF6" w:rsidRPr="001742F5" w:rsidRDefault="009B5CF6" w:rsidP="009B5CF6">
            <w:pPr>
              <w:widowControl/>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 xml:space="preserve">COMPONENTA </w:t>
            </w:r>
            <w:r>
              <w:rPr>
                <w:rFonts w:asciiTheme="majorBidi" w:eastAsia="Times New Roman" w:hAnsiTheme="majorBidi" w:cstheme="majorBidi"/>
                <w:bCs/>
                <w:noProof/>
                <w:sz w:val="22"/>
                <w:szCs w:val="22"/>
                <w:lang w:eastAsia="en-US"/>
              </w:rPr>
              <w:t>III</w:t>
            </w:r>
            <w:r w:rsidRPr="00F249FB">
              <w:rPr>
                <w:rFonts w:asciiTheme="majorBidi" w:eastAsia="Times New Roman" w:hAnsiTheme="majorBidi" w:cstheme="majorBidi"/>
                <w:bCs/>
                <w:noProof/>
                <w:sz w:val="22"/>
                <w:szCs w:val="22"/>
                <w:lang w:eastAsia="en-US"/>
              </w:rPr>
              <w:t>: CONSTRUCȚII NOI – SPAȚII DE CAZARE CĂMINE</w:t>
            </w:r>
          </w:p>
        </w:tc>
      </w:tr>
      <w:tr w:rsidR="009B5CF6" w:rsidRPr="00576CC4" w14:paraId="51081D41"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6695F53B"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499"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61518"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single" w:sz="4" w:space="0" w:color="auto"/>
              <w:left w:val="single" w:sz="4" w:space="0" w:color="auto"/>
              <w:bottom w:val="single" w:sz="4" w:space="0" w:color="auto"/>
              <w:right w:val="single" w:sz="4" w:space="0" w:color="auto"/>
            </w:tcBorders>
          </w:tcPr>
          <w:p w14:paraId="30D40672" w14:textId="7ACCDD88" w:rsidR="009B5CF6" w:rsidRDefault="009B5CF6" w:rsidP="009B5CF6">
            <w:pPr>
              <w:widowControl/>
              <w:jc w:val="center"/>
              <w:rPr>
                <w:rFonts w:asciiTheme="majorBidi" w:eastAsia="Times New Roman" w:hAnsiTheme="majorBidi" w:cstheme="majorBidi"/>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Pr>
                <w:rFonts w:asciiTheme="majorBidi" w:eastAsia="Times New Roman" w:hAnsiTheme="majorBidi" w:cstheme="majorBidi"/>
                <w:b/>
                <w:bCs/>
                <w:noProof/>
                <w:sz w:val="22"/>
                <w:szCs w:val="22"/>
                <w:lang w:eastAsia="en-US"/>
              </w:rPr>
              <w:t>I+II+III</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4F44933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w:t>
      </w:r>
      <w:r w:rsidR="005F6265">
        <w:rPr>
          <w:rFonts w:asciiTheme="majorBidi" w:hAnsiTheme="majorBidi" w:cstheme="majorBidi"/>
          <w:bCs/>
          <w:sz w:val="22"/>
          <w:szCs w:val="22"/>
        </w:rPr>
        <w:t>ș</w:t>
      </w:r>
      <w:r w:rsidR="00BB7F06" w:rsidRPr="00576CC4">
        <w:rPr>
          <w:rFonts w:asciiTheme="majorBidi" w:hAnsiTheme="majorBidi" w:cstheme="majorBidi"/>
          <w:bCs/>
          <w:sz w:val="22"/>
          <w:szCs w:val="22"/>
        </w:rPr>
        <w:t>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5A611FB3" w14:textId="386433DF" w:rsidR="00FA2190" w:rsidRPr="00F30012" w:rsidRDefault="00982F23" w:rsidP="00F30012">
      <w:pPr>
        <w:pStyle w:val="ListParagraph"/>
        <w:numPr>
          <w:ilvl w:val="0"/>
          <w:numId w:val="15"/>
        </w:numPr>
        <w:pBdr>
          <w:top w:val="nil"/>
          <w:left w:val="nil"/>
          <w:bottom w:val="nil"/>
          <w:right w:val="nil"/>
          <w:between w:val="nil"/>
        </w:pBdr>
        <w:tabs>
          <w:tab w:val="left" w:pos="540"/>
        </w:tabs>
        <w:spacing w:after="240" w:line="276" w:lineRule="auto"/>
        <w:ind w:left="540" w:hanging="427"/>
        <w:jc w:val="both"/>
        <w:rPr>
          <w:rFonts w:asciiTheme="majorBidi" w:hAnsiTheme="majorBidi" w:cstheme="majorBidi"/>
          <w:b/>
          <w:sz w:val="22"/>
          <w:szCs w:val="22"/>
        </w:rPr>
      </w:pPr>
      <w:r w:rsidRPr="00F30012">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147F8089" w14:textId="4D6B59F1"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Articolul 4 -</w:t>
      </w:r>
      <w:r w:rsidR="00F30012">
        <w:rPr>
          <w:rFonts w:asciiTheme="majorBidi" w:hAnsiTheme="majorBidi" w:cstheme="majorBidi"/>
          <w:b/>
          <w:sz w:val="22"/>
          <w:szCs w:val="22"/>
        </w:rPr>
        <w:t xml:space="preserve"> </w:t>
      </w:r>
      <w:r w:rsidRPr="007053FA">
        <w:rPr>
          <w:rFonts w:asciiTheme="majorBidi" w:hAnsiTheme="majorBidi" w:cstheme="majorBidi"/>
          <w:b/>
          <w:sz w:val="22"/>
          <w:szCs w:val="22"/>
        </w:rPr>
        <w:t>Drepturile și obligațiile Ministerului Educației – Coordonatorul de reforme</w:t>
      </w:r>
    </w:p>
    <w:p w14:paraId="7A72BACB" w14:textId="56AC940D"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w:t>
      </w:r>
      <w:r w:rsidR="005F6265">
        <w:rPr>
          <w:rFonts w:asciiTheme="majorBidi" w:hAnsiTheme="majorBidi" w:cstheme="majorBidi"/>
          <w:bCs/>
          <w:sz w:val="22"/>
          <w:szCs w:val="22"/>
        </w:rPr>
        <w:t>omponenta 15. Educație, a PNRR</w:t>
      </w:r>
      <w:r w:rsidRPr="00576CC4">
        <w:rPr>
          <w:rFonts w:asciiTheme="majorBidi" w:hAnsiTheme="majorBidi" w:cstheme="majorBidi"/>
          <w:bCs/>
          <w:sz w:val="22"/>
          <w:szCs w:val="22"/>
        </w:rPr>
        <w:t>.</w:t>
      </w:r>
    </w:p>
    <w:p w14:paraId="1E74F256" w14:textId="1363971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w:t>
      </w:r>
      <w:r w:rsidR="00B15C62">
        <w:rPr>
          <w:rFonts w:asciiTheme="majorBidi" w:hAnsiTheme="majorBidi" w:cstheme="majorBidi"/>
          <w:bCs/>
          <w:sz w:val="22"/>
          <w:szCs w:val="22"/>
        </w:rPr>
        <w:t>e au impact asupra PNRR</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95C6E" w:rsidRDefault="00982F23" w:rsidP="00FA2190">
      <w:pPr>
        <w:jc w:val="both"/>
        <w:rPr>
          <w:rFonts w:asciiTheme="majorBidi" w:hAnsiTheme="majorBidi" w:cstheme="majorBidi"/>
          <w:b/>
          <w:sz w:val="22"/>
          <w:szCs w:val="22"/>
        </w:rPr>
      </w:pPr>
      <w:r w:rsidRPr="00B95C6E">
        <w:rPr>
          <w:rFonts w:asciiTheme="majorBidi" w:hAnsiTheme="majorBidi" w:cstheme="majorBidi"/>
          <w:b/>
          <w:sz w:val="22"/>
          <w:szCs w:val="22"/>
        </w:rPr>
        <w:t xml:space="preserve">Articolul 5 – Drepturile </w:t>
      </w:r>
      <w:r w:rsidR="00BB7F06" w:rsidRPr="00B95C6E">
        <w:rPr>
          <w:rFonts w:asciiTheme="majorBidi" w:hAnsiTheme="majorBidi" w:cstheme="majorBidi"/>
          <w:b/>
          <w:sz w:val="22"/>
          <w:szCs w:val="22"/>
        </w:rPr>
        <w:t>și</w:t>
      </w:r>
      <w:r w:rsidRPr="00B95C6E">
        <w:rPr>
          <w:rFonts w:asciiTheme="majorBidi" w:hAnsiTheme="majorBidi" w:cstheme="majorBidi"/>
          <w:b/>
          <w:sz w:val="22"/>
          <w:szCs w:val="22"/>
        </w:rPr>
        <w:t xml:space="preserve"> </w:t>
      </w:r>
      <w:r w:rsidR="00BB7F06" w:rsidRPr="00B95C6E">
        <w:rPr>
          <w:rFonts w:asciiTheme="majorBidi" w:hAnsiTheme="majorBidi" w:cstheme="majorBidi"/>
          <w:b/>
          <w:sz w:val="22"/>
          <w:szCs w:val="22"/>
        </w:rPr>
        <w:t>obligațiile</w:t>
      </w:r>
      <w:r w:rsidRPr="00B95C6E">
        <w:rPr>
          <w:rFonts w:asciiTheme="majorBidi" w:hAnsiTheme="majorBidi" w:cstheme="majorBidi"/>
          <w:b/>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47A11225" w:rsidR="00982F23" w:rsidRPr="00576CC4" w:rsidRDefault="0090667D">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90667D">
        <w:rPr>
          <w:rFonts w:asciiTheme="majorBidi" w:hAnsiTheme="majorBidi" w:cstheme="majorBidi"/>
          <w:bCs/>
          <w:sz w:val="22"/>
          <w:szCs w:val="22"/>
        </w:rPr>
        <w:t>Beneficiarul are obligația de a îndeplini</w:t>
      </w:r>
      <w:r w:rsidRPr="00C55623">
        <w:rPr>
          <w:rFonts w:asciiTheme="majorBidi" w:hAnsiTheme="majorBidi" w:cstheme="majorBidi"/>
          <w:bCs/>
          <w:sz w:val="22"/>
          <w:szCs w:val="22"/>
        </w:rPr>
        <w:t xml:space="preserve"> </w:t>
      </w:r>
      <w:r>
        <w:rPr>
          <w:rFonts w:asciiTheme="majorBidi" w:hAnsiTheme="majorBidi" w:cstheme="majorBidi"/>
          <w:bCs/>
          <w:sz w:val="22"/>
          <w:szCs w:val="22"/>
        </w:rPr>
        <w:t>i</w:t>
      </w:r>
      <w:r w:rsidRPr="00576CC4">
        <w:rPr>
          <w:rFonts w:asciiTheme="majorBidi" w:hAnsiTheme="majorBidi" w:cstheme="majorBidi"/>
          <w:bCs/>
          <w:sz w:val="22"/>
          <w:szCs w:val="22"/>
        </w:rPr>
        <w:t xml:space="preserve">ndicatorii de rezultat și de realizare specifici, asumați </w:t>
      </w:r>
      <w:r>
        <w:rPr>
          <w:rFonts w:asciiTheme="majorBidi" w:hAnsiTheme="majorBidi" w:cstheme="majorBidi"/>
          <w:bCs/>
          <w:sz w:val="22"/>
          <w:szCs w:val="22"/>
        </w:rPr>
        <w:t>prin</w:t>
      </w:r>
      <w:r w:rsidRPr="00576CC4">
        <w:rPr>
          <w:rFonts w:asciiTheme="majorBidi" w:hAnsiTheme="majorBidi" w:cstheme="majorBidi"/>
          <w:bCs/>
          <w:sz w:val="22"/>
          <w:szCs w:val="22"/>
        </w:rPr>
        <w:t xml:space="preserve"> cererea de finanțare aprobată</w:t>
      </w:r>
      <w:r>
        <w:rPr>
          <w:rFonts w:asciiTheme="majorBidi" w:hAnsiTheme="majorBidi" w:cstheme="majorBidi"/>
          <w:bCs/>
          <w:sz w:val="22"/>
          <w:szCs w:val="22"/>
        </w:rPr>
        <w:t>.</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7A1B4B70" w14:textId="57EFC50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2D5616E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137587">
        <w:rPr>
          <w:rFonts w:asciiTheme="majorBidi" w:hAnsiTheme="majorBidi" w:cstheme="majorBidi"/>
          <w:bCs/>
          <w:sz w:val="22"/>
          <w:szCs w:val="22"/>
        </w:rPr>
        <w:t>infrastructură universitară</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1742F5"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Beneficiarul are </w:t>
      </w:r>
      <w:r w:rsidR="00BB7F06" w:rsidRPr="001742F5">
        <w:rPr>
          <w:rFonts w:asciiTheme="majorBidi" w:hAnsiTheme="majorBidi" w:cstheme="majorBidi"/>
          <w:bCs/>
          <w:sz w:val="22"/>
          <w:szCs w:val="22"/>
        </w:rPr>
        <w:t>obligația</w:t>
      </w:r>
      <w:r w:rsidRPr="001742F5">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1742F5">
        <w:rPr>
          <w:rFonts w:asciiTheme="majorBidi" w:hAnsiTheme="majorBidi" w:cstheme="majorBidi"/>
          <w:bCs/>
          <w:sz w:val="22"/>
          <w:szCs w:val="22"/>
        </w:rPr>
        <w:t>finanțare</w:t>
      </w:r>
      <w:r w:rsidRPr="001742F5">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55C8241" w14:textId="7F89A646" w:rsidR="00BC3500" w:rsidRDefault="00982F23" w:rsidP="00BC350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EBCBE5E" w14:textId="77777777" w:rsidR="00BC3500" w:rsidRDefault="00BC3500" w:rsidP="00BC350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71FA792D" w14:textId="1301A9D7" w:rsidR="007326EA" w:rsidRPr="00BC3500" w:rsidRDefault="007326EA" w:rsidP="00BC3500">
      <w:pPr>
        <w:pBdr>
          <w:top w:val="nil"/>
          <w:left w:val="nil"/>
          <w:bottom w:val="nil"/>
          <w:right w:val="nil"/>
          <w:between w:val="nil"/>
        </w:pBdr>
        <w:spacing w:line="276" w:lineRule="auto"/>
        <w:jc w:val="both"/>
        <w:rPr>
          <w:rFonts w:asciiTheme="majorBidi" w:hAnsiTheme="majorBidi" w:cstheme="majorBidi"/>
          <w:bCs/>
          <w:sz w:val="22"/>
          <w:szCs w:val="22"/>
        </w:rPr>
      </w:pPr>
      <w:r w:rsidRPr="00BC3500">
        <w:rPr>
          <w:rFonts w:asciiTheme="majorBidi" w:hAnsiTheme="majorBidi" w:cstheme="majorBidi"/>
          <w:b/>
          <w:bCs/>
          <w:sz w:val="22"/>
          <w:szCs w:val="22"/>
        </w:rPr>
        <w:t xml:space="preserve">Art. </w:t>
      </w:r>
      <w:r w:rsidR="00EF22B5" w:rsidRPr="00BC3500">
        <w:rPr>
          <w:rFonts w:asciiTheme="majorBidi" w:hAnsiTheme="majorBidi" w:cstheme="majorBidi"/>
          <w:b/>
          <w:bCs/>
          <w:sz w:val="22"/>
          <w:szCs w:val="22"/>
        </w:rPr>
        <w:t>6</w:t>
      </w:r>
      <w:r w:rsidRPr="00BC3500">
        <w:rPr>
          <w:rFonts w:asciiTheme="majorBidi" w:hAnsiTheme="majorBidi" w:cstheme="majorBidi"/>
          <w:b/>
          <w:bCs/>
          <w:sz w:val="22"/>
          <w:szCs w:val="22"/>
        </w:rPr>
        <w:t xml:space="preserve">.  </w:t>
      </w:r>
      <w:r w:rsidR="004F3D23" w:rsidRPr="004F3D23">
        <w:rPr>
          <w:rFonts w:asciiTheme="majorBidi" w:hAnsiTheme="majorBidi" w:cstheme="majorBidi"/>
          <w:b/>
          <w:bCs/>
          <w:sz w:val="22"/>
          <w:szCs w:val="22"/>
        </w:rPr>
        <w:t>Drepturile și obligațiile comune ale părților</w:t>
      </w:r>
    </w:p>
    <w:p w14:paraId="31079A4D" w14:textId="77777777" w:rsidR="007326EA" w:rsidRPr="007053FA" w:rsidRDefault="007326EA" w:rsidP="007326EA">
      <w:pPr>
        <w:pBdr>
          <w:top w:val="nil"/>
          <w:left w:val="nil"/>
          <w:bottom w:val="nil"/>
          <w:right w:val="nil"/>
          <w:between w:val="nil"/>
        </w:pBdr>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sidRPr="00BC3500">
        <w:rPr>
          <w:rFonts w:asciiTheme="majorBidi" w:hAnsiTheme="majorBidi" w:cstheme="majorBidi"/>
          <w:bCs/>
          <w:sz w:val="22"/>
          <w:szCs w:val="22"/>
          <w:lang w:val="pt-BR"/>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Părțile se angajează să asigure funcționarilor Comisiei, OLAF, CCE, DLAF, DNA, AA și, în măsura în care este 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45029D">
      <w:pPr>
        <w:pStyle w:val="P68B1DB1-ListParagraph14"/>
        <w:tabs>
          <w:tab w:val="left" w:pos="630"/>
          <w:tab w:val="left" w:pos="720"/>
          <w:tab w:val="left" w:pos="900"/>
          <w:tab w:val="left" w:pos="990"/>
        </w:tabs>
        <w:spacing w:after="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45029D">
      <w:pPr>
        <w:pStyle w:val="P68B1DB1-ListParagraph14"/>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p w14:paraId="5A2ABDF6" w14:textId="2E28AD66" w:rsidR="002576BA" w:rsidRPr="003B0A52"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tuturor beneficiarilor finali ai fondurilor plătite, pentru a se asigura că orice parte terță implicată în punerea în aplicare</w:t>
      </w:r>
      <w:r w:rsidR="00F32000">
        <w:rPr>
          <w:rFonts w:asciiTheme="majorBidi" w:hAnsiTheme="majorBidi" w:cstheme="majorBidi"/>
          <w:bCs/>
          <w:sz w:val="22"/>
          <w:szCs w:val="22"/>
        </w:rPr>
        <w:t xml:space="preserve"> </w:t>
      </w:r>
      <w:r w:rsidR="002576BA"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002576BA"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002576BA"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7 </w:t>
      </w:r>
      <w:r w:rsidRPr="007053FA">
        <w:rPr>
          <w:rFonts w:asciiTheme="majorBidi" w:hAnsiTheme="majorBidi" w:cstheme="majorBidi"/>
          <w:b/>
          <w:sz w:val="22"/>
          <w:szCs w:val="22"/>
        </w:rPr>
        <w:t>- Eligibilitatea cheltuielilor</w:t>
      </w:r>
    </w:p>
    <w:p w14:paraId="5C45FC32" w14:textId="38DD82A0" w:rsidR="00982F23" w:rsidRPr="00576CC4" w:rsidRDefault="00982F23" w:rsidP="005C7A4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3978D122" w:rsidR="00FA2190"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7053FA" w:rsidRDefault="00982F23" w:rsidP="00FA2190">
      <w:pPr>
        <w:jc w:val="both"/>
        <w:rPr>
          <w:rFonts w:asciiTheme="majorBidi" w:hAnsiTheme="majorBidi" w:cstheme="majorBidi"/>
          <w:b/>
          <w:strike/>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8 </w:t>
      </w:r>
      <w:r w:rsidRPr="007053FA">
        <w:rPr>
          <w:rFonts w:asciiTheme="majorBidi" w:hAnsiTheme="majorBidi" w:cstheme="majorBidi"/>
          <w:b/>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1742F5">
        <w:rPr>
          <w:rFonts w:asciiTheme="majorBidi" w:hAnsiTheme="majorBidi" w:cstheme="majorBidi"/>
          <w:bCs/>
          <w:sz w:val="22"/>
          <w:szCs w:val="22"/>
        </w:rPr>
        <w:t>și</w:t>
      </w:r>
      <w:r w:rsidRPr="001742F5">
        <w:rPr>
          <w:rFonts w:asciiTheme="majorBidi" w:hAnsiTheme="majorBidi" w:cstheme="majorBidi"/>
          <w:bCs/>
          <w:sz w:val="22"/>
          <w:szCs w:val="22"/>
        </w:rPr>
        <w:t xml:space="preserve"> se autorizează conform instrucțiunilor specifice de lucru emise de către ME.</w:t>
      </w:r>
    </w:p>
    <w:p w14:paraId="6B70E3F8" w14:textId="1CFF1A6D"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1742F5">
        <w:rPr>
          <w:rFonts w:asciiTheme="majorBidi" w:hAnsiTheme="majorBidi" w:cstheme="majorBidi"/>
          <w:bCs/>
          <w:sz w:val="22"/>
          <w:szCs w:val="22"/>
        </w:rPr>
        <w:t>depășească</w:t>
      </w:r>
      <w:r w:rsidRPr="001742F5">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15A00675" w:rsidR="00FA2190"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455D6900"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9 </w:t>
      </w:r>
      <w:r w:rsidRPr="007053FA">
        <w:rPr>
          <w:rFonts w:asciiTheme="majorBidi" w:hAnsiTheme="majorBidi" w:cstheme="majorBidi"/>
          <w:b/>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10 </w:t>
      </w:r>
      <w:r w:rsidRPr="007053FA">
        <w:rPr>
          <w:rFonts w:asciiTheme="majorBidi" w:hAnsiTheme="majorBidi" w:cstheme="majorBidi"/>
          <w:b/>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11 </w:t>
      </w:r>
      <w:r w:rsidRPr="007053FA">
        <w:rPr>
          <w:rFonts w:asciiTheme="majorBidi" w:hAnsiTheme="majorBidi" w:cstheme="majorBidi"/>
          <w:b/>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1B3F887F" w14:textId="27D5B54D"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67093B">
        <w:rPr>
          <w:rFonts w:asciiTheme="majorBidi" w:hAnsiTheme="majorBidi" w:cstheme="majorBidi"/>
          <w:bCs/>
          <w:sz w:val="22"/>
          <w:szCs w:val="22"/>
        </w:rPr>
        <w:t xml:space="preserve"> confor</w:t>
      </w:r>
      <w:r w:rsidR="00056B7B">
        <w:rPr>
          <w:rFonts w:asciiTheme="majorBidi" w:hAnsiTheme="majorBidi" w:cstheme="majorBidi"/>
          <w:bCs/>
          <w:sz w:val="22"/>
          <w:szCs w:val="22"/>
        </w:rPr>
        <w:t>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12 </w:t>
      </w:r>
      <w:r w:rsidRPr="007053FA">
        <w:rPr>
          <w:rFonts w:asciiTheme="majorBidi" w:hAnsiTheme="majorBidi" w:cstheme="majorBidi"/>
          <w:b/>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13 </w:t>
      </w:r>
      <w:r w:rsidRPr="007053FA">
        <w:rPr>
          <w:rFonts w:asciiTheme="majorBidi" w:hAnsiTheme="majorBidi" w:cstheme="majorBidi"/>
          <w:b/>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F07E4A" w:rsidRDefault="00982F23" w:rsidP="00FA2190">
      <w:pPr>
        <w:rPr>
          <w:rFonts w:asciiTheme="majorBidi" w:hAnsiTheme="majorBidi" w:cstheme="majorBidi"/>
          <w:b/>
          <w:sz w:val="22"/>
          <w:szCs w:val="22"/>
        </w:rPr>
      </w:pPr>
      <w:r w:rsidRPr="00F07E4A">
        <w:rPr>
          <w:rFonts w:asciiTheme="majorBidi" w:hAnsiTheme="majorBidi" w:cstheme="majorBidi"/>
          <w:b/>
          <w:sz w:val="22"/>
          <w:szCs w:val="22"/>
        </w:rPr>
        <w:t xml:space="preserve">Articolul </w:t>
      </w:r>
      <w:r w:rsidR="00EF22B5" w:rsidRPr="00F07E4A">
        <w:rPr>
          <w:rFonts w:asciiTheme="majorBidi" w:hAnsiTheme="majorBidi" w:cstheme="majorBidi"/>
          <w:b/>
          <w:sz w:val="22"/>
          <w:szCs w:val="22"/>
        </w:rPr>
        <w:t xml:space="preserve">14 </w:t>
      </w:r>
      <w:r w:rsidRPr="00F07E4A">
        <w:rPr>
          <w:rFonts w:asciiTheme="majorBidi" w:hAnsiTheme="majorBidi" w:cstheme="majorBidi"/>
          <w:b/>
          <w:sz w:val="22"/>
          <w:szCs w:val="22"/>
        </w:rPr>
        <w:t xml:space="preserve">– </w:t>
      </w:r>
      <w:r w:rsidR="00BB7F06" w:rsidRPr="00F07E4A">
        <w:rPr>
          <w:rFonts w:asciiTheme="majorBidi" w:hAnsiTheme="majorBidi" w:cstheme="majorBidi"/>
          <w:b/>
          <w:sz w:val="22"/>
          <w:szCs w:val="22"/>
        </w:rPr>
        <w:t>Forța</w:t>
      </w:r>
      <w:r w:rsidRPr="00F07E4A">
        <w:rPr>
          <w:rFonts w:asciiTheme="majorBidi" w:hAnsiTheme="majorBidi" w:cstheme="majorBidi"/>
          <w:b/>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15 </w:t>
      </w:r>
      <w:r w:rsidRPr="007053FA">
        <w:rPr>
          <w:rFonts w:asciiTheme="majorBidi" w:hAnsiTheme="majorBidi" w:cstheme="majorBidi"/>
          <w:b/>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23066C3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w:t>
      </w:r>
      <w:r w:rsidR="00E85FA2">
        <w:rPr>
          <w:rFonts w:asciiTheme="majorBidi" w:hAnsiTheme="majorBidi" w:cstheme="majorBidi"/>
          <w:bCs/>
          <w:sz w:val="22"/>
          <w:szCs w:val="22"/>
        </w:rPr>
        <w:t>l</w:t>
      </w:r>
      <w:r w:rsidRPr="00576CC4">
        <w:rPr>
          <w:rFonts w:asciiTheme="majorBidi" w:hAnsiTheme="majorBidi" w:cstheme="majorBidi"/>
          <w:bCs/>
          <w:sz w:val="22"/>
          <w:szCs w:val="22"/>
        </w:rPr>
        <w:t>,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53ABF4FA"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Educației, în termen de maximum 3 zile lucrătoare de la data intervenirii acestor modificări, iar pentru situațiile </w:t>
      </w:r>
      <w:r w:rsidR="00694073">
        <w:rPr>
          <w:rFonts w:asciiTheme="majorBidi" w:hAnsiTheme="majorBidi" w:cstheme="majorBidi"/>
          <w:bCs/>
          <w:sz w:val="22"/>
          <w:szCs w:val="22"/>
        </w:rPr>
        <w:t>menționate la alin. (4) lit. a)</w:t>
      </w:r>
      <w:r w:rsidR="00694073" w:rsidRPr="00694073">
        <w:rPr>
          <w:rFonts w:asciiTheme="majorBidi" w:hAnsiTheme="majorBidi" w:cstheme="majorBidi"/>
          <w:bCs/>
          <w:color w:val="CC00FF"/>
          <w:sz w:val="22"/>
          <w:szCs w:val="22"/>
        </w:rPr>
        <w:t>-</w:t>
      </w:r>
      <w:r w:rsidRPr="00576CC4">
        <w:rPr>
          <w:rFonts w:asciiTheme="majorBidi" w:hAnsiTheme="majorBidi" w:cstheme="majorBidi"/>
          <w:bCs/>
          <w:sz w:val="22"/>
          <w:szCs w:val="22"/>
        </w:rPr>
        <w:t>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5AC81877" w14:textId="77777777" w:rsidR="00D54B46" w:rsidRDefault="00D54B46"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7023E18D" w14:textId="77777777" w:rsidR="001003CF" w:rsidRDefault="001003CF"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3B7A8C0A" w14:textId="1522B91A"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16 </w:t>
      </w:r>
      <w:r w:rsidRPr="007053FA">
        <w:rPr>
          <w:rFonts w:asciiTheme="majorBidi" w:hAnsiTheme="majorBidi" w:cstheme="majorBidi"/>
          <w:b/>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17 </w:t>
      </w:r>
      <w:r w:rsidRPr="007053FA">
        <w:rPr>
          <w:rFonts w:asciiTheme="majorBidi" w:hAnsiTheme="majorBidi" w:cstheme="majorBidi"/>
          <w:b/>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0CB08F65"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18 </w:t>
      </w:r>
      <w:r w:rsidRPr="007053FA">
        <w:rPr>
          <w:rFonts w:asciiTheme="majorBidi" w:hAnsiTheme="majorBidi" w:cstheme="majorBidi"/>
          <w:b/>
          <w:bCs/>
          <w:sz w:val="22"/>
          <w:szCs w:val="22"/>
        </w:rPr>
        <w:t>- Clauză suspensivă</w:t>
      </w:r>
    </w:p>
    <w:p w14:paraId="28418399" w14:textId="732FC52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Prezentul Contract este condiționat de îndeplinirea de către Beneficiar a obligațiilor prevăzute la art. 5</w:t>
      </w:r>
      <w:r w:rsidR="00E85FA2">
        <w:rPr>
          <w:rFonts w:asciiTheme="majorBidi" w:hAnsiTheme="majorBidi" w:cstheme="majorBidi"/>
          <w:bCs/>
          <w:sz w:val="22"/>
          <w:szCs w:val="22"/>
        </w:rPr>
        <w:t>, alin. (2) și alin. (3).</w:t>
      </w:r>
    </w:p>
    <w:p w14:paraId="746259EC" w14:textId="1737DC8E"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5 alin. (2)</w:t>
      </w:r>
      <w:r w:rsidR="00E85FA2">
        <w:rPr>
          <w:rFonts w:asciiTheme="majorBidi" w:hAnsiTheme="majorBidi" w:cstheme="majorBidi"/>
          <w:bCs/>
          <w:sz w:val="22"/>
          <w:szCs w:val="22"/>
        </w:rPr>
        <w:t xml:space="preserve"> și alin. (3)</w:t>
      </w:r>
      <w:r w:rsidRPr="00576CC4">
        <w:rPr>
          <w:rFonts w:asciiTheme="majorBidi" w:hAnsiTheme="majorBidi" w:cstheme="majorBidi"/>
          <w:bCs/>
          <w:sz w:val="22"/>
          <w:szCs w:val="22"/>
        </w:rPr>
        <w:t xml:space="preserve">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3B15F71E" w14:textId="77777777" w:rsidR="001003CF" w:rsidRDefault="001003CF" w:rsidP="00FA2190">
      <w:pPr>
        <w:jc w:val="both"/>
        <w:rPr>
          <w:rFonts w:asciiTheme="majorBidi" w:hAnsiTheme="majorBidi" w:cstheme="majorBidi"/>
          <w:b/>
          <w:sz w:val="22"/>
          <w:szCs w:val="22"/>
        </w:rPr>
      </w:pPr>
    </w:p>
    <w:p w14:paraId="7C20AEAA" w14:textId="37AB20CC"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19 </w:t>
      </w:r>
      <w:r w:rsidRPr="007053FA">
        <w:rPr>
          <w:rFonts w:asciiTheme="majorBidi" w:hAnsiTheme="majorBidi" w:cstheme="majorBidi"/>
          <w:b/>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20 </w:t>
      </w:r>
      <w:r w:rsidRPr="007053FA">
        <w:rPr>
          <w:rFonts w:asciiTheme="majorBidi" w:hAnsiTheme="majorBidi" w:cstheme="majorBidi"/>
          <w:b/>
          <w:sz w:val="22"/>
          <w:szCs w:val="22"/>
        </w:rPr>
        <w:t xml:space="preserve">– </w:t>
      </w:r>
      <w:r w:rsidR="00BB7F06" w:rsidRPr="007053FA">
        <w:rPr>
          <w:rFonts w:asciiTheme="majorBidi" w:hAnsiTheme="majorBidi" w:cstheme="majorBidi"/>
          <w:b/>
          <w:sz w:val="22"/>
          <w:szCs w:val="22"/>
        </w:rPr>
        <w:t>Corespondența</w:t>
      </w:r>
      <w:r w:rsidRPr="007053FA">
        <w:rPr>
          <w:rFonts w:asciiTheme="majorBidi" w:hAnsiTheme="majorBidi" w:cstheme="majorBidi"/>
          <w:b/>
          <w:sz w:val="22"/>
          <w:szCs w:val="22"/>
        </w:rPr>
        <w:t xml:space="preserve"> </w:t>
      </w:r>
    </w:p>
    <w:p w14:paraId="221AA372" w14:textId="0953C87C"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338494CE"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21 </w:t>
      </w:r>
      <w:r w:rsidRPr="007053FA">
        <w:rPr>
          <w:rFonts w:asciiTheme="majorBidi" w:hAnsiTheme="majorBidi" w:cstheme="majorBidi"/>
          <w:b/>
          <w:sz w:val="22"/>
          <w:szCs w:val="22"/>
        </w:rPr>
        <w:t xml:space="preserve">- Legea aplicabilă </w:t>
      </w:r>
      <w:r w:rsidR="00BB7F06" w:rsidRPr="007053FA">
        <w:rPr>
          <w:rFonts w:asciiTheme="majorBidi" w:hAnsiTheme="majorBidi" w:cstheme="majorBidi"/>
          <w:b/>
          <w:sz w:val="22"/>
          <w:szCs w:val="22"/>
        </w:rPr>
        <w:t>și</w:t>
      </w:r>
      <w:r w:rsidRPr="007053FA">
        <w:rPr>
          <w:rFonts w:asciiTheme="majorBidi" w:hAnsiTheme="majorBidi" w:cstheme="majorBidi"/>
          <w:b/>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7053FA" w:rsidRDefault="00C921BE" w:rsidP="00FA2190">
      <w:pPr>
        <w:jc w:val="both"/>
        <w:rPr>
          <w:rFonts w:asciiTheme="majorBidi" w:hAnsiTheme="majorBidi" w:cstheme="majorBidi"/>
          <w:b/>
          <w:sz w:val="22"/>
          <w:szCs w:val="22"/>
        </w:rPr>
      </w:pPr>
    </w:p>
    <w:p w14:paraId="70EA9148" w14:textId="77777777" w:rsidR="00F73FB3" w:rsidRDefault="00F73FB3" w:rsidP="00FA2190">
      <w:pPr>
        <w:jc w:val="both"/>
        <w:rPr>
          <w:rFonts w:asciiTheme="majorBidi" w:hAnsiTheme="majorBidi" w:cstheme="majorBidi"/>
          <w:b/>
          <w:sz w:val="22"/>
          <w:szCs w:val="22"/>
        </w:rPr>
      </w:pPr>
    </w:p>
    <w:p w14:paraId="158874EB" w14:textId="3BB6DA89"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22 </w:t>
      </w:r>
      <w:r w:rsidRPr="007053FA">
        <w:rPr>
          <w:rFonts w:asciiTheme="majorBidi" w:hAnsiTheme="majorBidi" w:cstheme="majorBidi"/>
          <w:b/>
          <w:sz w:val="22"/>
          <w:szCs w:val="22"/>
        </w:rPr>
        <w:t>-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23 </w:t>
      </w:r>
      <w:r w:rsidRPr="007053FA">
        <w:rPr>
          <w:rFonts w:asciiTheme="majorBidi" w:hAnsiTheme="majorBidi" w:cstheme="majorBidi"/>
          <w:b/>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5A9C09C9" w:rsidR="003A2B87"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AA3032">
        <w:rPr>
          <w:rFonts w:asciiTheme="majorBidi" w:eastAsia="Arial Narrow" w:hAnsiTheme="majorBidi" w:cstheme="majorBidi"/>
          <w:sz w:val="22"/>
          <w:szCs w:val="22"/>
        </w:rPr>
        <w:t xml:space="preserve">Cererea de finanțare </w:t>
      </w:r>
      <w:r w:rsidR="00387B03" w:rsidRPr="00AA3032">
        <w:rPr>
          <w:rFonts w:asciiTheme="majorBidi" w:eastAsia="Arial Narrow" w:hAnsiTheme="majorBidi" w:cstheme="majorBidi"/>
          <w:sz w:val="22"/>
          <w:szCs w:val="22"/>
        </w:rPr>
        <w:t>(Anexa 1)</w:t>
      </w:r>
    </w:p>
    <w:p w14:paraId="033AC8DD" w14:textId="103CC019"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w:t>
      </w:r>
      <w:r w:rsidR="00273109" w:rsidRPr="00AA3032">
        <w:rPr>
          <w:rFonts w:asciiTheme="majorBidi" w:eastAsia="Arial Narrow" w:hAnsiTheme="majorBidi" w:cstheme="majorBidi"/>
          <w:sz w:val="22"/>
          <w:szCs w:val="22"/>
        </w:rPr>
        <w:t>i</w:t>
      </w:r>
      <w:r w:rsidRPr="00AA3032">
        <w:rPr>
          <w:rFonts w:asciiTheme="majorBidi" w:eastAsia="Arial Narrow" w:hAnsiTheme="majorBidi" w:cstheme="majorBidi"/>
          <w:sz w:val="22"/>
          <w:szCs w:val="22"/>
        </w:rPr>
        <w:t xml:space="preserve"> pe propria răspundere privind evitarea dublei finanțări (Anexa </w:t>
      </w:r>
      <w:r w:rsidR="00273109" w:rsidRPr="00AA3032">
        <w:rPr>
          <w:rFonts w:asciiTheme="majorBidi" w:eastAsia="Arial Narrow" w:hAnsiTheme="majorBidi" w:cstheme="majorBidi"/>
          <w:sz w:val="22"/>
          <w:szCs w:val="22"/>
        </w:rPr>
        <w:t>2</w:t>
      </w:r>
      <w:r w:rsidR="00387B03" w:rsidRPr="00AA3032">
        <w:rPr>
          <w:rFonts w:asciiTheme="majorBidi" w:eastAsia="Arial Narrow" w:hAnsiTheme="majorBidi" w:cstheme="majorBidi"/>
          <w:sz w:val="22"/>
          <w:szCs w:val="22"/>
        </w:rPr>
        <w:t>)</w:t>
      </w:r>
    </w:p>
    <w:p w14:paraId="713921C4" w14:textId="058AC58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de consimțământ privind prelucrarea datelor cu caracter personal (Anexa </w:t>
      </w:r>
      <w:r w:rsidR="00387B03" w:rsidRPr="00AA3032">
        <w:rPr>
          <w:rFonts w:asciiTheme="majorBidi" w:eastAsia="Arial Narrow" w:hAnsiTheme="majorBidi" w:cstheme="majorBidi"/>
          <w:sz w:val="22"/>
          <w:szCs w:val="22"/>
        </w:rPr>
        <w:t>3)</w:t>
      </w:r>
    </w:p>
    <w:p w14:paraId="37D157D4" w14:textId="7111EDE0"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conflictul de interese (Anexa </w:t>
      </w:r>
      <w:r w:rsidR="00387B03" w:rsidRPr="00AA3032">
        <w:rPr>
          <w:rFonts w:asciiTheme="majorBidi" w:eastAsia="Arial Narrow" w:hAnsiTheme="majorBidi" w:cstheme="majorBidi"/>
          <w:sz w:val="22"/>
          <w:szCs w:val="22"/>
        </w:rPr>
        <w:t>4)</w:t>
      </w:r>
    </w:p>
    <w:p w14:paraId="752341F2" w14:textId="0807AD2A"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Declarații privind respectarea principiului DNSH (Anexa</w:t>
      </w:r>
      <w:r w:rsidR="00387B03" w:rsidRPr="00AA3032">
        <w:rPr>
          <w:rFonts w:asciiTheme="majorBidi" w:eastAsia="Arial Narrow" w:hAnsiTheme="majorBidi" w:cstheme="majorBidi"/>
          <w:sz w:val="22"/>
          <w:szCs w:val="22"/>
        </w:rPr>
        <w:t xml:space="preserve"> 5</w:t>
      </w:r>
      <w:r w:rsidRPr="00AA3032">
        <w:rPr>
          <w:rFonts w:asciiTheme="majorBidi" w:eastAsia="Arial Narrow" w:hAnsiTheme="majorBidi" w:cstheme="majorBidi"/>
          <w:sz w:val="22"/>
          <w:szCs w:val="22"/>
        </w:rPr>
        <w:t>)</w:t>
      </w:r>
    </w:p>
    <w:p w14:paraId="64A5CA43" w14:textId="3D5BE61E"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TVA aferentă cheltuielilor proiectului (Anexa </w:t>
      </w:r>
      <w:r w:rsidR="007340AA" w:rsidRPr="00AA3032">
        <w:rPr>
          <w:rFonts w:asciiTheme="majorBidi" w:eastAsia="Arial Narrow" w:hAnsiTheme="majorBidi" w:cstheme="majorBidi"/>
          <w:sz w:val="22"/>
          <w:szCs w:val="22"/>
        </w:rPr>
        <w:t>6)</w:t>
      </w:r>
    </w:p>
    <w:p w14:paraId="474D552A" w14:textId="6E341694"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heme="majorBidi" w:eastAsia="Arial Narrow" w:hAnsiTheme="majorBidi" w:cstheme="majorBidi"/>
          <w:sz w:val="22"/>
          <w:szCs w:val="22"/>
        </w:rPr>
        <w:t xml:space="preserve">Mandat special împuternicire specială pentru semnarea anumitor documente din Cererea de </w:t>
      </w:r>
      <w:r w:rsidR="00EC50C4" w:rsidRPr="00AA3032">
        <w:rPr>
          <w:rFonts w:ascii="Times New Roman" w:eastAsia="Arial Narrow" w:hAnsi="Times New Roman" w:cs="Times New Roman"/>
          <w:sz w:val="22"/>
          <w:szCs w:val="22"/>
        </w:rPr>
        <w:t>finanțare, dacă este cazul</w:t>
      </w:r>
      <w:r w:rsidRPr="00AA3032">
        <w:rPr>
          <w:rFonts w:ascii="Times New Roman" w:eastAsia="Arial Narrow" w:hAnsi="Times New Roman" w:cs="Times New Roman"/>
          <w:sz w:val="22"/>
          <w:szCs w:val="22"/>
        </w:rPr>
        <w:t xml:space="preserve"> (Anexa </w:t>
      </w:r>
      <w:r w:rsidR="00EC50C4" w:rsidRPr="00AA3032">
        <w:rPr>
          <w:rFonts w:ascii="Times New Roman" w:eastAsia="Arial Narrow" w:hAnsi="Times New Roman" w:cs="Times New Roman"/>
          <w:sz w:val="22"/>
          <w:szCs w:val="22"/>
        </w:rPr>
        <w:t>7)</w:t>
      </w:r>
    </w:p>
    <w:p w14:paraId="5F532705" w14:textId="60E861B2" w:rsidR="002C312F" w:rsidRPr="00AA3032" w:rsidRDefault="002C312F">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EndPr/>
        <w:sdtContent>
          <w:r w:rsidRPr="00AA3032">
            <w:rPr>
              <w:rFonts w:ascii="Times New Roman" w:eastAsia="Arial" w:hAnsi="Times New Roman" w:cs="Times New Roman"/>
              <w:position w:val="-1"/>
              <w:sz w:val="22"/>
              <w:szCs w:val="22"/>
              <w:lang w:eastAsia="en-US"/>
            </w:rPr>
            <w:t>(Anexa 8)</w:t>
          </w:r>
        </w:sdtContent>
      </w:sdt>
    </w:p>
    <w:p w14:paraId="1F9242C5" w14:textId="524CDFC7" w:rsidR="006B5F46"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Notă conceptu</w:t>
      </w:r>
      <w:r w:rsidR="00EC50C4" w:rsidRPr="00AA3032">
        <w:rPr>
          <w:rFonts w:ascii="Times New Roman" w:eastAsia="Arial Narrow" w:hAnsi="Times New Roman" w:cs="Times New Roman"/>
          <w:position w:val="-1"/>
          <w:sz w:val="22"/>
          <w:szCs w:val="22"/>
          <w:lang w:eastAsia="en-US"/>
        </w:rPr>
        <w:t xml:space="preserve">ală - model, conform HG907/2016 </w:t>
      </w:r>
      <w:r w:rsidR="009B0CC9" w:rsidRPr="00AA3032">
        <w:rPr>
          <w:rFonts w:ascii="Times New Roman" w:eastAsia="Arial Narrow" w:hAnsi="Times New Roman" w:cs="Times New Roman"/>
          <w:position w:val="-1"/>
          <w:sz w:val="22"/>
          <w:szCs w:val="22"/>
          <w:lang w:eastAsia="en-US"/>
        </w:rPr>
        <w:t xml:space="preserve">(Anexa </w:t>
      </w:r>
      <w:r w:rsidR="002C312F" w:rsidRPr="00AA3032">
        <w:rPr>
          <w:rFonts w:ascii="Times New Roman" w:eastAsia="Arial Narrow" w:hAnsi="Times New Roman" w:cs="Times New Roman"/>
          <w:position w:val="-1"/>
          <w:sz w:val="22"/>
          <w:szCs w:val="22"/>
          <w:lang w:eastAsia="en-US"/>
        </w:rPr>
        <w:t>9</w:t>
      </w:r>
      <w:r w:rsidR="009B0CC9" w:rsidRPr="00AA3032">
        <w:rPr>
          <w:rFonts w:ascii="Times New Roman" w:eastAsia="Arial Narrow" w:hAnsi="Times New Roman" w:cs="Times New Roman"/>
          <w:position w:val="-1"/>
          <w:sz w:val="22"/>
          <w:szCs w:val="22"/>
          <w:lang w:eastAsia="en-US"/>
        </w:rPr>
        <w:t>)</w:t>
      </w:r>
    </w:p>
    <w:p w14:paraId="53C035F1" w14:textId="48418F04" w:rsidR="009B0CC9" w:rsidRPr="00AA3032" w:rsidRDefault="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Declarație privind utilizarea spațiului nou construit/reabilitat cu destinația </w:t>
      </w:r>
      <w:r w:rsidR="00631C8B" w:rsidRPr="00AA3032">
        <w:rPr>
          <w:rFonts w:ascii="Times New Roman" w:eastAsia="Arial Narrow" w:hAnsi="Times New Roman" w:cs="Times New Roman"/>
          <w:position w:val="-1"/>
          <w:sz w:val="22"/>
          <w:szCs w:val="22"/>
          <w:lang w:eastAsia="en-US"/>
        </w:rPr>
        <w:t>stabilită prin investiție</w:t>
      </w:r>
      <w:r w:rsidRPr="00AA3032">
        <w:rPr>
          <w:rFonts w:ascii="Times New Roman" w:eastAsia="Arial Narrow" w:hAnsi="Times New Roman" w:cs="Times New Roman"/>
          <w:position w:val="-1"/>
          <w:sz w:val="22"/>
          <w:szCs w:val="22"/>
          <w:lang w:eastAsia="en-US"/>
        </w:rPr>
        <w:t xml:space="preserve"> (Anexa 1</w:t>
      </w:r>
      <w:r w:rsidR="00ED6BD3" w:rsidRPr="00AA3032">
        <w:rPr>
          <w:rFonts w:ascii="Times New Roman" w:eastAsia="Arial Narrow" w:hAnsi="Times New Roman" w:cs="Times New Roman"/>
          <w:position w:val="-1"/>
          <w:sz w:val="22"/>
          <w:szCs w:val="22"/>
          <w:lang w:eastAsia="en-US"/>
        </w:rPr>
        <w:t>0</w:t>
      </w:r>
      <w:r w:rsidRPr="00AA3032">
        <w:rPr>
          <w:rFonts w:ascii="Times New Roman" w:eastAsia="Arial Narrow" w:hAnsi="Times New Roman" w:cs="Times New Roman"/>
          <w:position w:val="-1"/>
          <w:sz w:val="22"/>
          <w:szCs w:val="22"/>
          <w:lang w:eastAsia="en-US"/>
        </w:rPr>
        <w:t>)</w:t>
      </w:r>
    </w:p>
    <w:p w14:paraId="10E870D0" w14:textId="285C29B1" w:rsidR="009B0CC9" w:rsidRPr="00AA3032" w:rsidRDefault="009B0CC9" w:rsidP="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 xml:space="preserve">Declarație de </w:t>
      </w:r>
      <w:r w:rsidR="00DA4554" w:rsidRPr="00AA3032">
        <w:rPr>
          <w:rFonts w:ascii="Times New Roman" w:hAnsi="Times New Roman" w:cs="Times New Roman"/>
          <w:sz w:val="22"/>
          <w:szCs w:val="22"/>
        </w:rPr>
        <w:t>angajament</w:t>
      </w:r>
      <w:r w:rsidRPr="00AA3032">
        <w:rPr>
          <w:rFonts w:ascii="Times New Roman" w:hAnsi="Times New Roman" w:cs="Times New Roman"/>
          <w:sz w:val="22"/>
          <w:szCs w:val="22"/>
        </w:rPr>
        <w:t xml:space="preserve"> (Anexa 1</w:t>
      </w:r>
      <w:r w:rsidR="00ED6BD3" w:rsidRPr="00AA3032">
        <w:rPr>
          <w:rFonts w:ascii="Times New Roman" w:hAnsi="Times New Roman" w:cs="Times New Roman"/>
          <w:sz w:val="22"/>
          <w:szCs w:val="22"/>
        </w:rPr>
        <w:t>1</w:t>
      </w:r>
      <w:r w:rsidRPr="00AA3032">
        <w:rPr>
          <w:rFonts w:ascii="Times New Roman" w:hAnsi="Times New Roman" w:cs="Times New Roman"/>
          <w:sz w:val="22"/>
          <w:szCs w:val="22"/>
        </w:rPr>
        <w:t>)</w:t>
      </w:r>
    </w:p>
    <w:bookmarkEnd w:id="1"/>
    <w:p w14:paraId="48123DEC"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Documentele statutare ale Solicitantului,</w:t>
      </w:r>
    </w:p>
    <w:p w14:paraId="7EDE64C4"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AA3032">
        <w:rPr>
          <w:rFonts w:asciiTheme="majorBidi" w:hAnsiTheme="majorBidi" w:cstheme="majorBidi"/>
          <w:sz w:val="22"/>
          <w:szCs w:val="22"/>
        </w:rPr>
        <w:t>documentului de identificare pentru reprezentantul legal al Solicitantului,</w:t>
      </w:r>
    </w:p>
    <w:p w14:paraId="45316B75" w14:textId="044168DC" w:rsidR="00697D64" w:rsidRPr="00AA3032" w:rsidRDefault="003A2B87"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rPr>
        <w:t>Hotărârile/deciziile/ordinele de aprobare a Proiectului și a cheltuielilor aferente Proiectului, conform solicitărilor din Ghid</w:t>
      </w:r>
      <w:r w:rsidRPr="00AA3032">
        <w:rPr>
          <w:rFonts w:asciiTheme="majorBidi" w:hAnsiTheme="majorBidi" w:cstheme="majorBidi"/>
          <w:sz w:val="22"/>
          <w:szCs w:val="22"/>
        </w:rPr>
        <w:t>,</w:t>
      </w:r>
    </w:p>
    <w:p w14:paraId="5C608155" w14:textId="050F1D65"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pistei de audit</w:t>
      </w:r>
    </w:p>
    <w:p w14:paraId="2FE74F95" w14:textId="258E6FCD"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organizării contabilității</w:t>
      </w:r>
    </w:p>
    <w:p w14:paraId="6463CB76" w14:textId="605D4C2E"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evitarea conflictului de interese, a neregulilor și fraudei</w:t>
      </w:r>
    </w:p>
    <w:p w14:paraId="764061AB" w14:textId="59E502F4"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utilizarea investiției finanțate</w:t>
      </w:r>
    </w:p>
    <w:p w14:paraId="18ECFD73" w14:textId="3B27CAA5"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respectarea prevederilor legale în derularea achizițiilor publice</w:t>
      </w:r>
    </w:p>
    <w:p w14:paraId="6D0C79DE" w14:textId="63E0D3B4" w:rsidR="00EF22B5" w:rsidRPr="00AA3032" w:rsidRDefault="00CE520D" w:rsidP="00285AE8">
      <w:pPr>
        <w:tabs>
          <w:tab w:val="left" w:pos="2160"/>
          <w:tab w:val="right" w:pos="9810"/>
        </w:tabs>
        <w:ind w:left="540"/>
        <w:jc w:val="both"/>
        <w:rPr>
          <w:rFonts w:asciiTheme="majorBidi" w:hAnsiTheme="majorBidi" w:cstheme="majorBidi"/>
          <w:sz w:val="22"/>
          <w:szCs w:val="22"/>
        </w:rPr>
      </w:pPr>
      <w:r w:rsidRPr="00AA3032">
        <w:rPr>
          <w:rFonts w:asciiTheme="majorBidi" w:hAnsiTheme="majorBidi" w:cstheme="majorBidi"/>
        </w:rPr>
        <w:t>xi</w:t>
      </w:r>
      <w:r w:rsidR="00697D64" w:rsidRPr="00AA3032">
        <w:rPr>
          <w:rFonts w:asciiTheme="majorBidi" w:hAnsiTheme="majorBidi" w:cstheme="majorBidi"/>
        </w:rPr>
        <w:t>.</w:t>
      </w:r>
      <w:bookmarkStart w:id="2" w:name="_Hlk127123488"/>
      <w:r w:rsidR="00697D64" w:rsidRPr="00AA3032">
        <w:rPr>
          <w:rFonts w:asciiTheme="majorBidi" w:hAnsiTheme="majorBidi" w:cstheme="majorBidi"/>
        </w:rPr>
        <w:t xml:space="preserve"> </w:t>
      </w:r>
      <w:r w:rsidR="00697D64" w:rsidRPr="00AA3032">
        <w:rPr>
          <w:rFonts w:asciiTheme="majorBidi" w:hAnsiTheme="majorBidi" w:cstheme="majorBidi"/>
          <w:bCs/>
          <w:sz w:val="22"/>
          <w:szCs w:val="22"/>
        </w:rPr>
        <w:t>Repartizarea bugetului pe</w:t>
      </w:r>
      <w:r w:rsidRPr="00AA3032">
        <w:rPr>
          <w:rFonts w:asciiTheme="majorBidi" w:hAnsiTheme="majorBidi" w:cstheme="majorBidi"/>
          <w:bCs/>
          <w:sz w:val="22"/>
          <w:szCs w:val="22"/>
        </w:rPr>
        <w:t xml:space="preserve"> componente</w:t>
      </w:r>
      <w:r w:rsidR="00697D64" w:rsidRPr="00AA3032">
        <w:rPr>
          <w:rFonts w:asciiTheme="majorBidi" w:hAnsiTheme="majorBidi" w:cstheme="majorBidi"/>
          <w:bCs/>
          <w:sz w:val="22"/>
          <w:szCs w:val="22"/>
        </w:rPr>
        <w:t xml:space="preserve"> </w:t>
      </w:r>
      <w:bookmarkEnd w:id="2"/>
      <w:r w:rsidR="00BD72FA" w:rsidRPr="00AA3032">
        <w:rPr>
          <w:rFonts w:asciiTheme="majorBidi" w:hAnsiTheme="majorBidi" w:cstheme="majorBidi"/>
          <w:bCs/>
          <w:sz w:val="22"/>
          <w:szCs w:val="22"/>
        </w:rPr>
        <w:t>subcomponente.</w:t>
      </w:r>
    </w:p>
    <w:p w14:paraId="3671639B" w14:textId="3BE0B6EF"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64A76033" w:rsidR="00982F23"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042272D3" w14:textId="389BCA84" w:rsidR="006C0540"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4BB4F6D4" w14:textId="77777777" w:rsidR="006C0540" w:rsidRPr="00576CC4"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41DF495E" w:rsidR="00982F23" w:rsidRPr="00576CC4" w:rsidRDefault="00982F23" w:rsidP="007053FA">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Semnătura:                                                                 </w:t>
      </w:r>
      <w:r w:rsidR="006C0540">
        <w:rPr>
          <w:rFonts w:asciiTheme="majorBidi" w:hAnsiTheme="majorBidi" w:cstheme="majorBidi"/>
          <w:bCs/>
          <w:sz w:val="22"/>
          <w:szCs w:val="22"/>
        </w:rPr>
        <w:tab/>
      </w:r>
      <w:r w:rsidRPr="00576CC4">
        <w:rPr>
          <w:rFonts w:asciiTheme="majorBidi" w:hAnsiTheme="majorBidi" w:cstheme="majorBidi"/>
          <w:bCs/>
          <w:sz w:val="22"/>
          <w:szCs w:val="22"/>
        </w:rPr>
        <w:t xml:space="preserve">         </w:t>
      </w:r>
      <w:r w:rsidR="007053FA">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 Semnătura:</w:t>
      </w:r>
    </w:p>
    <w:p w14:paraId="072D0F9D" w14:textId="3A5186A6" w:rsidR="00576CC4" w:rsidRPr="00B679D8" w:rsidRDefault="006C0540" w:rsidP="00EF22B5">
      <w:pPr>
        <w:tabs>
          <w:tab w:val="left" w:pos="7371"/>
        </w:tabs>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  </w:t>
      </w:r>
      <w:r w:rsidR="00982F23" w:rsidRPr="00576CC4">
        <w:rPr>
          <w:rFonts w:asciiTheme="majorBidi" w:hAnsiTheme="majorBidi" w:cstheme="majorBidi"/>
          <w:bCs/>
          <w:sz w:val="22"/>
          <w:szCs w:val="22"/>
        </w:rPr>
        <w:t xml:space="preserve">Data                                                                              </w:t>
      </w:r>
      <w:r>
        <w:rPr>
          <w:rFonts w:asciiTheme="majorBidi" w:hAnsiTheme="majorBidi" w:cstheme="majorBidi"/>
          <w:bCs/>
          <w:sz w:val="22"/>
          <w:szCs w:val="22"/>
        </w:rPr>
        <w:tab/>
        <w:t xml:space="preserve">      </w:t>
      </w:r>
      <w:r w:rsidR="00982F23" w:rsidRPr="00576CC4">
        <w:rPr>
          <w:rFonts w:asciiTheme="majorBidi" w:hAnsiTheme="majorBidi" w:cstheme="majorBidi"/>
          <w:bCs/>
          <w:sz w:val="22"/>
          <w:szCs w:val="22"/>
        </w:rPr>
        <w:t xml:space="preserve">         </w:t>
      </w:r>
      <w:r w:rsidR="00BD2207" w:rsidRPr="00576CC4">
        <w:rPr>
          <w:rFonts w:asciiTheme="majorBidi" w:hAnsiTheme="majorBidi" w:cstheme="majorBidi"/>
          <w:bCs/>
          <w:sz w:val="22"/>
          <w:szCs w:val="22"/>
        </w:rPr>
        <w:t xml:space="preserve"> </w:t>
      </w:r>
      <w:r w:rsidR="00982F23"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7668AF">
      <w:pgSz w:w="12240" w:h="15840"/>
      <w:pgMar w:top="1710" w:right="990" w:bottom="126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97043" w14:textId="77777777" w:rsidR="0060271A" w:rsidRDefault="0060271A" w:rsidP="005A2AD9">
      <w:r>
        <w:separator/>
      </w:r>
    </w:p>
  </w:endnote>
  <w:endnote w:type="continuationSeparator" w:id="0">
    <w:p w14:paraId="58526499" w14:textId="77777777" w:rsidR="0060271A" w:rsidRDefault="0060271A"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284003"/>
      <w:docPartObj>
        <w:docPartGallery w:val="Page Numbers (Bottom of Page)"/>
        <w:docPartUnique/>
      </w:docPartObj>
    </w:sdtPr>
    <w:sdtEndPr/>
    <w:sdtContent>
      <w:sdt>
        <w:sdtPr>
          <w:id w:val="-1562626222"/>
          <w:docPartObj>
            <w:docPartGallery w:val="Page Numbers (Top of Page)"/>
            <w:docPartUnique/>
          </w:docPartObj>
        </w:sdtPr>
        <w:sdtEndPr/>
        <w:sdtContent>
          <w:p w14:paraId="16080BAA" w14:textId="7C6C66FE"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610269">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AC5F" w14:textId="77777777" w:rsidR="0060271A" w:rsidRDefault="0060271A" w:rsidP="005A2AD9">
      <w:r>
        <w:separator/>
      </w:r>
    </w:p>
  </w:footnote>
  <w:footnote w:type="continuationSeparator" w:id="0">
    <w:p w14:paraId="2B1ABCE5" w14:textId="77777777" w:rsidR="0060271A" w:rsidRDefault="0060271A" w:rsidP="005A2AD9">
      <w:r>
        <w:continuationSeparator/>
      </w:r>
    </w:p>
  </w:footnote>
  <w:footnote w:id="1">
    <w:p w14:paraId="24A7F8E2" w14:textId="77777777" w:rsidR="00156A4E" w:rsidRDefault="00156A4E" w:rsidP="00156A4E">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4"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5"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9"/>
  </w:num>
  <w:num w:numId="3">
    <w:abstractNumId w:val="20"/>
  </w:num>
  <w:num w:numId="4">
    <w:abstractNumId w:val="23"/>
  </w:num>
  <w:num w:numId="5">
    <w:abstractNumId w:val="13"/>
  </w:num>
  <w:num w:numId="6">
    <w:abstractNumId w:val="4"/>
  </w:num>
  <w:num w:numId="7">
    <w:abstractNumId w:val="11"/>
  </w:num>
  <w:num w:numId="8">
    <w:abstractNumId w:val="14"/>
  </w:num>
  <w:num w:numId="9">
    <w:abstractNumId w:val="21"/>
  </w:num>
  <w:num w:numId="10">
    <w:abstractNumId w:val="19"/>
  </w:num>
  <w:num w:numId="11">
    <w:abstractNumId w:val="7"/>
  </w:num>
  <w:num w:numId="12">
    <w:abstractNumId w:val="2"/>
  </w:num>
  <w:num w:numId="13">
    <w:abstractNumId w:val="10"/>
  </w:num>
  <w:num w:numId="14">
    <w:abstractNumId w:val="5"/>
  </w:num>
  <w:num w:numId="15">
    <w:abstractNumId w:val="6"/>
  </w:num>
  <w:num w:numId="16">
    <w:abstractNumId w:val="25"/>
  </w:num>
  <w:num w:numId="17">
    <w:abstractNumId w:val="24"/>
  </w:num>
  <w:num w:numId="18">
    <w:abstractNumId w:va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
  </w:num>
  <w:num w:numId="22">
    <w:abstractNumId w:val="15"/>
  </w:num>
  <w:num w:numId="23">
    <w:abstractNumId w:val="16"/>
  </w:num>
  <w:num w:numId="24">
    <w:abstractNumId w:val="18"/>
  </w:num>
  <w:num w:numId="25">
    <w:abstractNumId w:val="12"/>
  </w:num>
  <w:num w:numId="26">
    <w:abstractNumId w:val="0"/>
  </w:num>
  <w:num w:numId="27">
    <w:abstractNumId w:val="1"/>
  </w:num>
  <w:num w:numId="2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12A38"/>
    <w:rsid w:val="00012ECB"/>
    <w:rsid w:val="00041DAD"/>
    <w:rsid w:val="00050760"/>
    <w:rsid w:val="00050F90"/>
    <w:rsid w:val="0005444F"/>
    <w:rsid w:val="00054A49"/>
    <w:rsid w:val="00056B7B"/>
    <w:rsid w:val="00057321"/>
    <w:rsid w:val="000640DC"/>
    <w:rsid w:val="000657B0"/>
    <w:rsid w:val="00072E64"/>
    <w:rsid w:val="00085083"/>
    <w:rsid w:val="000911E0"/>
    <w:rsid w:val="0009478D"/>
    <w:rsid w:val="000C7C77"/>
    <w:rsid w:val="000D09F6"/>
    <w:rsid w:val="000F454C"/>
    <w:rsid w:val="000F4DF6"/>
    <w:rsid w:val="001003CF"/>
    <w:rsid w:val="00114C76"/>
    <w:rsid w:val="00137587"/>
    <w:rsid w:val="00156A4E"/>
    <w:rsid w:val="001648F8"/>
    <w:rsid w:val="00165898"/>
    <w:rsid w:val="001742F5"/>
    <w:rsid w:val="00185416"/>
    <w:rsid w:val="00193773"/>
    <w:rsid w:val="001A2B8B"/>
    <w:rsid w:val="001B09B4"/>
    <w:rsid w:val="001B2296"/>
    <w:rsid w:val="001C1B4A"/>
    <w:rsid w:val="001D3856"/>
    <w:rsid w:val="001D4DDD"/>
    <w:rsid w:val="001E0FE6"/>
    <w:rsid w:val="001E1695"/>
    <w:rsid w:val="001F1A33"/>
    <w:rsid w:val="00246015"/>
    <w:rsid w:val="00252A2D"/>
    <w:rsid w:val="002576BA"/>
    <w:rsid w:val="002700DA"/>
    <w:rsid w:val="00273109"/>
    <w:rsid w:val="00280D74"/>
    <w:rsid w:val="00285AE8"/>
    <w:rsid w:val="002B18D6"/>
    <w:rsid w:val="002B269B"/>
    <w:rsid w:val="002B2F2A"/>
    <w:rsid w:val="002B745D"/>
    <w:rsid w:val="002B7DF1"/>
    <w:rsid w:val="002C312F"/>
    <w:rsid w:val="002D3096"/>
    <w:rsid w:val="002D725B"/>
    <w:rsid w:val="002E182B"/>
    <w:rsid w:val="002F3974"/>
    <w:rsid w:val="00307076"/>
    <w:rsid w:val="00307795"/>
    <w:rsid w:val="00314C6C"/>
    <w:rsid w:val="00323997"/>
    <w:rsid w:val="00324017"/>
    <w:rsid w:val="00341878"/>
    <w:rsid w:val="00363BBC"/>
    <w:rsid w:val="00370D7A"/>
    <w:rsid w:val="003739D6"/>
    <w:rsid w:val="00383144"/>
    <w:rsid w:val="00383590"/>
    <w:rsid w:val="00383D50"/>
    <w:rsid w:val="00387B03"/>
    <w:rsid w:val="003A2B87"/>
    <w:rsid w:val="003A40C0"/>
    <w:rsid w:val="003C7266"/>
    <w:rsid w:val="003D09F7"/>
    <w:rsid w:val="003E0A07"/>
    <w:rsid w:val="003E2C8E"/>
    <w:rsid w:val="003F5A48"/>
    <w:rsid w:val="003F7D9A"/>
    <w:rsid w:val="0040143C"/>
    <w:rsid w:val="004162F8"/>
    <w:rsid w:val="00423153"/>
    <w:rsid w:val="0043243A"/>
    <w:rsid w:val="0045029D"/>
    <w:rsid w:val="004534B1"/>
    <w:rsid w:val="004668C6"/>
    <w:rsid w:val="00480E71"/>
    <w:rsid w:val="0049294E"/>
    <w:rsid w:val="004950EF"/>
    <w:rsid w:val="004A3E57"/>
    <w:rsid w:val="004D01FC"/>
    <w:rsid w:val="004D2DCB"/>
    <w:rsid w:val="004D2F52"/>
    <w:rsid w:val="004E19E2"/>
    <w:rsid w:val="004E7A56"/>
    <w:rsid w:val="004F3D23"/>
    <w:rsid w:val="00506375"/>
    <w:rsid w:val="0051180C"/>
    <w:rsid w:val="00515A46"/>
    <w:rsid w:val="00527213"/>
    <w:rsid w:val="005276F4"/>
    <w:rsid w:val="00567F45"/>
    <w:rsid w:val="00576CC4"/>
    <w:rsid w:val="00582421"/>
    <w:rsid w:val="00584A14"/>
    <w:rsid w:val="00593C30"/>
    <w:rsid w:val="005A0B63"/>
    <w:rsid w:val="005A2AD9"/>
    <w:rsid w:val="005A4620"/>
    <w:rsid w:val="005B0F00"/>
    <w:rsid w:val="005B5C89"/>
    <w:rsid w:val="005C3DB4"/>
    <w:rsid w:val="005C7A44"/>
    <w:rsid w:val="005D05FD"/>
    <w:rsid w:val="005E4BE1"/>
    <w:rsid w:val="005F0D5B"/>
    <w:rsid w:val="005F4F58"/>
    <w:rsid w:val="005F6265"/>
    <w:rsid w:val="0060271A"/>
    <w:rsid w:val="00602F5D"/>
    <w:rsid w:val="00607BB2"/>
    <w:rsid w:val="00610269"/>
    <w:rsid w:val="0061367A"/>
    <w:rsid w:val="00622F65"/>
    <w:rsid w:val="00631C8B"/>
    <w:rsid w:val="006474A6"/>
    <w:rsid w:val="0067093B"/>
    <w:rsid w:val="00670DE1"/>
    <w:rsid w:val="00680421"/>
    <w:rsid w:val="006902AA"/>
    <w:rsid w:val="00694073"/>
    <w:rsid w:val="0069659D"/>
    <w:rsid w:val="00697D64"/>
    <w:rsid w:val="006A44D6"/>
    <w:rsid w:val="006A7D09"/>
    <w:rsid w:val="006B5E71"/>
    <w:rsid w:val="006B5E80"/>
    <w:rsid w:val="006B5F46"/>
    <w:rsid w:val="006C0540"/>
    <w:rsid w:val="006C2B09"/>
    <w:rsid w:val="006D3173"/>
    <w:rsid w:val="00702DA8"/>
    <w:rsid w:val="00703A5C"/>
    <w:rsid w:val="007053FA"/>
    <w:rsid w:val="007262AA"/>
    <w:rsid w:val="007309C8"/>
    <w:rsid w:val="007326EA"/>
    <w:rsid w:val="007340AA"/>
    <w:rsid w:val="00740846"/>
    <w:rsid w:val="0074106B"/>
    <w:rsid w:val="00741457"/>
    <w:rsid w:val="00751A3F"/>
    <w:rsid w:val="00760B59"/>
    <w:rsid w:val="007668AF"/>
    <w:rsid w:val="00781649"/>
    <w:rsid w:val="00781BDB"/>
    <w:rsid w:val="00786F89"/>
    <w:rsid w:val="007873C9"/>
    <w:rsid w:val="00796F55"/>
    <w:rsid w:val="007A36F5"/>
    <w:rsid w:val="007A3919"/>
    <w:rsid w:val="007B17F5"/>
    <w:rsid w:val="007C3F69"/>
    <w:rsid w:val="007D089D"/>
    <w:rsid w:val="007D3317"/>
    <w:rsid w:val="007E2C1D"/>
    <w:rsid w:val="00823678"/>
    <w:rsid w:val="00831114"/>
    <w:rsid w:val="00840127"/>
    <w:rsid w:val="00841405"/>
    <w:rsid w:val="008416C4"/>
    <w:rsid w:val="0086654D"/>
    <w:rsid w:val="00890244"/>
    <w:rsid w:val="00893CBB"/>
    <w:rsid w:val="008A589C"/>
    <w:rsid w:val="008B4A73"/>
    <w:rsid w:val="008B4FCC"/>
    <w:rsid w:val="008D2817"/>
    <w:rsid w:val="008D56ED"/>
    <w:rsid w:val="008D6404"/>
    <w:rsid w:val="008E19EE"/>
    <w:rsid w:val="008F38FA"/>
    <w:rsid w:val="008F3FDD"/>
    <w:rsid w:val="008F5B86"/>
    <w:rsid w:val="00901858"/>
    <w:rsid w:val="00902859"/>
    <w:rsid w:val="00903788"/>
    <w:rsid w:val="0090667D"/>
    <w:rsid w:val="00924B3C"/>
    <w:rsid w:val="00925FD5"/>
    <w:rsid w:val="00940DBE"/>
    <w:rsid w:val="00945C8A"/>
    <w:rsid w:val="0094631A"/>
    <w:rsid w:val="00966F0E"/>
    <w:rsid w:val="009809F2"/>
    <w:rsid w:val="00982F23"/>
    <w:rsid w:val="00990F4C"/>
    <w:rsid w:val="00992A9A"/>
    <w:rsid w:val="0099490F"/>
    <w:rsid w:val="0099722A"/>
    <w:rsid w:val="009A0775"/>
    <w:rsid w:val="009A20CA"/>
    <w:rsid w:val="009A6F75"/>
    <w:rsid w:val="009A7BBF"/>
    <w:rsid w:val="009B0CC9"/>
    <w:rsid w:val="009B2B05"/>
    <w:rsid w:val="009B501B"/>
    <w:rsid w:val="009B5CF6"/>
    <w:rsid w:val="009C1A94"/>
    <w:rsid w:val="00A02248"/>
    <w:rsid w:val="00A27AA3"/>
    <w:rsid w:val="00A37ADF"/>
    <w:rsid w:val="00A53428"/>
    <w:rsid w:val="00A53470"/>
    <w:rsid w:val="00A6703E"/>
    <w:rsid w:val="00A75645"/>
    <w:rsid w:val="00A82CC1"/>
    <w:rsid w:val="00AA3032"/>
    <w:rsid w:val="00AA6EB7"/>
    <w:rsid w:val="00AB6685"/>
    <w:rsid w:val="00AB7543"/>
    <w:rsid w:val="00AD5316"/>
    <w:rsid w:val="00AE2692"/>
    <w:rsid w:val="00B02303"/>
    <w:rsid w:val="00B1061C"/>
    <w:rsid w:val="00B12774"/>
    <w:rsid w:val="00B14D88"/>
    <w:rsid w:val="00B15C62"/>
    <w:rsid w:val="00B17FC3"/>
    <w:rsid w:val="00B37AB3"/>
    <w:rsid w:val="00B45F53"/>
    <w:rsid w:val="00B465F2"/>
    <w:rsid w:val="00B52CB4"/>
    <w:rsid w:val="00B679D8"/>
    <w:rsid w:val="00B7452E"/>
    <w:rsid w:val="00B800E9"/>
    <w:rsid w:val="00B816BB"/>
    <w:rsid w:val="00B845E6"/>
    <w:rsid w:val="00B877A5"/>
    <w:rsid w:val="00B92D6F"/>
    <w:rsid w:val="00B94A0F"/>
    <w:rsid w:val="00B95C6E"/>
    <w:rsid w:val="00BB7F06"/>
    <w:rsid w:val="00BC3500"/>
    <w:rsid w:val="00BC35E6"/>
    <w:rsid w:val="00BC3E62"/>
    <w:rsid w:val="00BD17CA"/>
    <w:rsid w:val="00BD2207"/>
    <w:rsid w:val="00BD72FA"/>
    <w:rsid w:val="00BF4073"/>
    <w:rsid w:val="00C05A74"/>
    <w:rsid w:val="00C06BAA"/>
    <w:rsid w:val="00C36DB2"/>
    <w:rsid w:val="00C373FD"/>
    <w:rsid w:val="00C4284E"/>
    <w:rsid w:val="00C42B17"/>
    <w:rsid w:val="00C5256D"/>
    <w:rsid w:val="00C531FB"/>
    <w:rsid w:val="00C55FA8"/>
    <w:rsid w:val="00C73735"/>
    <w:rsid w:val="00C921BE"/>
    <w:rsid w:val="00CA2C45"/>
    <w:rsid w:val="00CB2210"/>
    <w:rsid w:val="00CB4859"/>
    <w:rsid w:val="00CD74AF"/>
    <w:rsid w:val="00CE1E5C"/>
    <w:rsid w:val="00CE2053"/>
    <w:rsid w:val="00CE4085"/>
    <w:rsid w:val="00CE520D"/>
    <w:rsid w:val="00D21840"/>
    <w:rsid w:val="00D27298"/>
    <w:rsid w:val="00D32697"/>
    <w:rsid w:val="00D32A1A"/>
    <w:rsid w:val="00D54B46"/>
    <w:rsid w:val="00D5747E"/>
    <w:rsid w:val="00D603A1"/>
    <w:rsid w:val="00D73826"/>
    <w:rsid w:val="00D772E4"/>
    <w:rsid w:val="00DA4554"/>
    <w:rsid w:val="00DA7B69"/>
    <w:rsid w:val="00DE57AF"/>
    <w:rsid w:val="00DE7C59"/>
    <w:rsid w:val="00E01A0E"/>
    <w:rsid w:val="00E76FB4"/>
    <w:rsid w:val="00E84317"/>
    <w:rsid w:val="00E85FA2"/>
    <w:rsid w:val="00E964B2"/>
    <w:rsid w:val="00EA4365"/>
    <w:rsid w:val="00EB244B"/>
    <w:rsid w:val="00EC18EA"/>
    <w:rsid w:val="00EC50C4"/>
    <w:rsid w:val="00ED2DB9"/>
    <w:rsid w:val="00ED64BE"/>
    <w:rsid w:val="00ED6BD3"/>
    <w:rsid w:val="00EE505C"/>
    <w:rsid w:val="00EE6963"/>
    <w:rsid w:val="00EF22B5"/>
    <w:rsid w:val="00F07E4A"/>
    <w:rsid w:val="00F249FB"/>
    <w:rsid w:val="00F27604"/>
    <w:rsid w:val="00F30012"/>
    <w:rsid w:val="00F31C90"/>
    <w:rsid w:val="00F32000"/>
    <w:rsid w:val="00F34D47"/>
    <w:rsid w:val="00F437DE"/>
    <w:rsid w:val="00F562F9"/>
    <w:rsid w:val="00F73FB3"/>
    <w:rsid w:val="00F74900"/>
    <w:rsid w:val="00F80B16"/>
    <w:rsid w:val="00F810B6"/>
    <w:rsid w:val="00F86428"/>
    <w:rsid w:val="00F968B1"/>
    <w:rsid w:val="00FA1C3F"/>
    <w:rsid w:val="00FA2190"/>
    <w:rsid w:val="00FA29B1"/>
    <w:rsid w:val="00FB324C"/>
    <w:rsid w:val="00FC54D4"/>
    <w:rsid w:val="00FD6D7F"/>
    <w:rsid w:val="00FF4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173E-8851-4CA1-B5F6-A19CB2EA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15</Pages>
  <Words>7169</Words>
  <Characters>40867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14</cp:revision>
  <cp:lastPrinted>2022-08-12T12:56:00Z</cp:lastPrinted>
  <dcterms:created xsi:type="dcterms:W3CDTF">2023-05-04T11:19:00Z</dcterms:created>
  <dcterms:modified xsi:type="dcterms:W3CDTF">2023-07-25T13:33:00Z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e1603b92841a6ddeed919608389dc1d9df4460d2cdae514906b09e9115ade113</vt:lpwstr>
  </property>
</Properties>
</file>